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38"/>
        <w:gridCol w:w="6406"/>
      </w:tblGrid>
      <w:tr w:rsidRPr="00975B07" w:rsidR="00CE544A" w:rsidTr="45003A96" w14:paraId="04473DCA" w14:textId="77777777">
        <w:tc>
          <w:tcPr>
            <w:tcW w:w="2438" w:type="dxa"/>
            <w:shd w:val="clear" w:color="auto" w:fill="auto"/>
            <w:tcMar/>
          </w:tcPr>
          <w:p w:rsidRPr="00975B07" w:rsidR="00F445B1" w:rsidP="004A6D2F" w:rsidRDefault="00F445B1" w14:paraId="334BE3F6" w14:textId="77777777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To</w:t>
            </w:r>
            <w:r w:rsidRPr="00975B07" w:rsidR="005C35A5">
              <w:rPr>
                <w:rStyle w:val="Firstpagetablebold"/>
              </w:rPr>
              <w:t>:</w:t>
            </w:r>
          </w:p>
        </w:tc>
        <w:tc>
          <w:tcPr>
            <w:tcW w:w="6406" w:type="dxa"/>
            <w:shd w:val="clear" w:color="auto" w:fill="auto"/>
            <w:tcMar/>
          </w:tcPr>
          <w:p w:rsidRPr="00F95BC9" w:rsidR="00F445B1" w:rsidP="004A6D2F" w:rsidRDefault="00DB7AD7" w14:paraId="017518DB" w14:textId="0905E07B">
            <w:pPr>
              <w:rPr>
                <w:rStyle w:val="Firstpagetablebold"/>
              </w:rPr>
            </w:pPr>
            <w:r w:rsidRPr="22D97903">
              <w:rPr>
                <w:rStyle w:val="Firstpagetablebold"/>
              </w:rPr>
              <w:t>Cabinet</w:t>
            </w:r>
          </w:p>
        </w:tc>
      </w:tr>
      <w:tr w:rsidRPr="00975B07" w:rsidR="00CE544A" w:rsidTr="45003A96" w14:paraId="705FA4FB" w14:textId="77777777">
        <w:tc>
          <w:tcPr>
            <w:tcW w:w="2438" w:type="dxa"/>
            <w:shd w:val="clear" w:color="auto" w:fill="auto"/>
            <w:tcMar/>
          </w:tcPr>
          <w:p w:rsidRPr="00975B07" w:rsidR="00F445B1" w:rsidP="004A6D2F" w:rsidRDefault="00F445B1" w14:paraId="3C1A12A6" w14:textId="77777777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Dat</w:t>
            </w:r>
            <w:r w:rsidRPr="00975B07" w:rsidR="005C35A5">
              <w:rPr>
                <w:rStyle w:val="Firstpagetablebold"/>
              </w:rPr>
              <w:t>e:</w:t>
            </w:r>
          </w:p>
        </w:tc>
        <w:tc>
          <w:tcPr>
            <w:tcW w:w="6406" w:type="dxa"/>
            <w:shd w:val="clear" w:color="auto" w:fill="auto"/>
            <w:tcMar/>
          </w:tcPr>
          <w:p w:rsidRPr="009E30E2" w:rsidR="00F445B1" w:rsidP="22D97903" w:rsidRDefault="64F48934" w14:paraId="4F4A4C58" w14:textId="73A6396A">
            <w:pPr>
              <w:rPr>
                <w:rStyle w:val="Firstpagetablebold"/>
                <w:rFonts w:cs="Arial"/>
                <w:b w:val="0"/>
                <w:bCs w:val="0"/>
                <w:color w:val="auto"/>
              </w:rPr>
            </w:pPr>
            <w:r w:rsidRPr="17B47119" w:rsidR="1961D560">
              <w:rPr>
                <w:rStyle w:val="Firstpagetablebold"/>
                <w:rFonts w:cs="Arial"/>
                <w:b w:val="0"/>
                <w:bCs w:val="0"/>
                <w:color w:val="auto"/>
              </w:rPr>
              <w:t>18 June</w:t>
            </w:r>
            <w:r w:rsidRPr="17B47119" w:rsidR="125C64D0">
              <w:rPr>
                <w:rStyle w:val="Firstpagetablebold"/>
                <w:rFonts w:cs="Arial"/>
                <w:b w:val="0"/>
                <w:bCs w:val="0"/>
                <w:color w:val="auto"/>
              </w:rPr>
              <w:t xml:space="preserve"> 2025</w:t>
            </w:r>
          </w:p>
        </w:tc>
      </w:tr>
      <w:tr w:rsidRPr="00975B07" w:rsidR="00CE544A" w:rsidTr="45003A96" w14:paraId="7AED9E48" w14:textId="77777777">
        <w:tc>
          <w:tcPr>
            <w:tcW w:w="2438" w:type="dxa"/>
            <w:shd w:val="clear" w:color="auto" w:fill="auto"/>
            <w:tcMar/>
          </w:tcPr>
          <w:p w:rsidRPr="00975B07" w:rsidR="00F445B1" w:rsidP="004A6D2F" w:rsidRDefault="00F445B1" w14:paraId="2049294C" w14:textId="77777777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Report of</w:t>
            </w:r>
            <w:r w:rsidRPr="00975B07" w:rsidR="005C35A5">
              <w:rPr>
                <w:rStyle w:val="Firstpagetablebold"/>
              </w:rPr>
              <w:t>:</w:t>
            </w:r>
          </w:p>
        </w:tc>
        <w:tc>
          <w:tcPr>
            <w:tcW w:w="6406" w:type="dxa"/>
            <w:shd w:val="clear" w:color="auto" w:fill="auto"/>
            <w:tcMar/>
          </w:tcPr>
          <w:p w:rsidRPr="009E30E2" w:rsidR="00F445B1" w:rsidP="22D97903" w:rsidRDefault="028263F2" w14:paraId="31C202AE" w14:textId="18CC1301">
            <w:pPr>
              <w:rPr>
                <w:rStyle w:val="Firstpagetablebold"/>
                <w:rFonts w:cs="Arial"/>
                <w:b w:val="0"/>
                <w:bCs w:val="0"/>
                <w:color w:val="auto"/>
              </w:rPr>
            </w:pPr>
            <w:r w:rsidRPr="45003A96" w:rsidR="028263F2">
              <w:rPr>
                <w:rStyle w:val="Firstpagetablebold"/>
                <w:rFonts w:cs="Arial"/>
                <w:b w:val="0"/>
                <w:bCs w:val="0"/>
                <w:color w:val="auto"/>
              </w:rPr>
              <w:t>Director of Communities and Citizens Services</w:t>
            </w:r>
          </w:p>
        </w:tc>
      </w:tr>
      <w:tr w:rsidRPr="00975B07" w:rsidR="00CE544A" w:rsidTr="45003A96" w14:paraId="312CDF01" w14:textId="77777777">
        <w:tc>
          <w:tcPr>
            <w:tcW w:w="2438" w:type="dxa"/>
            <w:shd w:val="clear" w:color="auto" w:fill="auto"/>
            <w:tcMar/>
          </w:tcPr>
          <w:p w:rsidRPr="00975B07" w:rsidR="00F445B1" w:rsidP="004A6D2F" w:rsidRDefault="00F445B1" w14:paraId="08DE1E88" w14:textId="77777777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 xml:space="preserve">Title of Report: </w:t>
            </w:r>
          </w:p>
        </w:tc>
        <w:tc>
          <w:tcPr>
            <w:tcW w:w="6406" w:type="dxa"/>
            <w:shd w:val="clear" w:color="auto" w:fill="auto"/>
            <w:tcMar/>
          </w:tcPr>
          <w:p w:rsidRPr="009E30E2" w:rsidR="00F445B1" w:rsidP="004A6D2F" w:rsidRDefault="43CECD94" w14:paraId="4C45E9F3" w14:textId="61C2CAE3">
            <w:pPr>
              <w:rPr>
                <w:rStyle w:val="Firstpagetablebold"/>
                <w:color w:val="auto"/>
              </w:rPr>
            </w:pPr>
            <w:r w:rsidRPr="0DBE7487">
              <w:rPr>
                <w:rStyle w:val="Firstpagetablebold"/>
                <w:rFonts w:cs="Arial"/>
                <w:b w:val="0"/>
                <w:color w:val="auto"/>
              </w:rPr>
              <w:t xml:space="preserve">Leisure </w:t>
            </w:r>
            <w:r w:rsidRPr="0DBE7487" w:rsidR="4FD997A8">
              <w:rPr>
                <w:rStyle w:val="Firstpagetablebold"/>
                <w:rFonts w:cs="Arial"/>
                <w:b w:val="0"/>
                <w:color w:val="auto"/>
              </w:rPr>
              <w:t>C</w:t>
            </w:r>
            <w:r w:rsidRPr="0DBE7487">
              <w:rPr>
                <w:rStyle w:val="Firstpagetablebold"/>
                <w:rFonts w:cs="Arial"/>
                <w:b w:val="0"/>
                <w:color w:val="auto"/>
              </w:rPr>
              <w:t>ontract Annual Service Plan (2025-26)</w:t>
            </w:r>
          </w:p>
        </w:tc>
      </w:tr>
    </w:tbl>
    <w:p w:rsidR="004F20EF" w:rsidP="004A6D2F" w:rsidRDefault="004F20EF" w14:paraId="2173E708" w14:textId="77777777"/>
    <w:tbl>
      <w:tblPr>
        <w:tblW w:w="0" w:type="auto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2438"/>
        <w:gridCol w:w="6407"/>
      </w:tblGrid>
      <w:tr w:rsidR="00D5547E" w:rsidTr="45003A96" w14:paraId="30A8EDD0" w14:textId="77777777">
        <w:tc>
          <w:tcPr>
            <w:tcW w:w="8845" w:type="dxa"/>
            <w:gridSpan w:val="2"/>
            <w:tcBorders>
              <w:bottom w:val="single" w:color="000000" w:themeColor="text1" w:sz="8" w:space="0"/>
            </w:tcBorders>
            <w:tcMar/>
            <w:hideMark/>
          </w:tcPr>
          <w:p w:rsidR="00D5547E" w:rsidP="00745BF0" w:rsidRDefault="00745BF0" w14:paraId="7672E430" w14:textId="77777777">
            <w:pPr>
              <w:jc w:val="center"/>
              <w:rPr>
                <w:rStyle w:val="Firstpagetablebold"/>
              </w:rPr>
            </w:pPr>
            <w:r>
              <w:rPr>
                <w:rStyle w:val="Firstpagetablebold"/>
              </w:rPr>
              <w:t>Summary and r</w:t>
            </w:r>
            <w:r w:rsidR="00D5547E">
              <w:rPr>
                <w:rStyle w:val="Firstpagetablebold"/>
              </w:rPr>
              <w:t>ecommendations</w:t>
            </w:r>
          </w:p>
        </w:tc>
      </w:tr>
      <w:tr w:rsidR="00D5547E" w:rsidTr="45003A96" w14:paraId="01894138" w14:textId="77777777">
        <w:tc>
          <w:tcPr>
            <w:tcW w:w="2438" w:type="dxa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tcMar/>
            <w:hideMark/>
          </w:tcPr>
          <w:p w:rsidR="00D5547E" w:rsidRDefault="00025250" w14:paraId="5BB81F73" w14:textId="120319E8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Decision being taken</w:t>
            </w:r>
            <w:r w:rsidR="00D5547E">
              <w:rPr>
                <w:rStyle w:val="Firstpagetablebold"/>
              </w:rPr>
              <w:t>:</w:t>
            </w:r>
          </w:p>
        </w:tc>
        <w:tc>
          <w:tcPr>
            <w:tcW w:w="6407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8" w:space="0"/>
            </w:tcBorders>
            <w:tcMar/>
            <w:hideMark/>
          </w:tcPr>
          <w:p w:rsidRPr="009E30E2" w:rsidR="00D5547E" w:rsidP="00DB7AD7" w:rsidRDefault="1CE3F360" w14:paraId="419B6548" w14:textId="2507EE9D">
            <w:pPr>
              <w:rPr>
                <w:color w:val="auto"/>
              </w:rPr>
            </w:pPr>
            <w:r w:rsidRPr="45003A96" w:rsidR="78F82245">
              <w:rPr>
                <w:color w:val="auto"/>
              </w:rPr>
              <w:t xml:space="preserve">To update Cabinet on the highlights of the first year of the new leisure contract and approve the Annual Service Plan 2025-26, which is an annual requirement of </w:t>
            </w:r>
            <w:r w:rsidRPr="45003A96" w:rsidR="74495377">
              <w:rPr>
                <w:color w:val="auto"/>
              </w:rPr>
              <w:t xml:space="preserve">the </w:t>
            </w:r>
            <w:r w:rsidRPr="45003A96" w:rsidR="772CC4C3">
              <w:rPr>
                <w:color w:val="auto"/>
              </w:rPr>
              <w:t>operator</w:t>
            </w:r>
            <w:r w:rsidRPr="45003A96" w:rsidR="78F82245">
              <w:rPr>
                <w:color w:val="auto"/>
              </w:rPr>
              <w:t xml:space="preserve">, aiming to align outcomes to </w:t>
            </w:r>
            <w:r w:rsidRPr="45003A96" w:rsidR="7141EC24">
              <w:rPr>
                <w:color w:val="auto"/>
              </w:rPr>
              <w:t>the Counci</w:t>
            </w:r>
            <w:r w:rsidRPr="45003A96" w:rsidR="5E24A6F5">
              <w:rPr>
                <w:color w:val="auto"/>
              </w:rPr>
              <w:t>l</w:t>
            </w:r>
            <w:r w:rsidRPr="45003A96" w:rsidR="7141EC24">
              <w:rPr>
                <w:color w:val="auto"/>
              </w:rPr>
              <w:t>’s</w:t>
            </w:r>
            <w:r w:rsidRPr="45003A96" w:rsidR="78F82245">
              <w:rPr>
                <w:color w:val="auto"/>
              </w:rPr>
              <w:t xml:space="preserve"> priorities and </w:t>
            </w:r>
            <w:r w:rsidRPr="45003A96" w:rsidR="4B3DF243">
              <w:rPr>
                <w:color w:val="auto"/>
              </w:rPr>
              <w:t xml:space="preserve">to </w:t>
            </w:r>
            <w:r w:rsidRPr="45003A96" w:rsidR="78F82245">
              <w:rPr>
                <w:color w:val="auto"/>
              </w:rPr>
              <w:t>address health inequalities.</w:t>
            </w:r>
          </w:p>
        </w:tc>
      </w:tr>
      <w:tr w:rsidR="00025250" w:rsidTr="45003A96" w14:paraId="43BD728D" w14:textId="77777777">
        <w:tc>
          <w:tcPr>
            <w:tcW w:w="243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/>
            <w:hideMark/>
          </w:tcPr>
          <w:p w:rsidR="00025250" w:rsidP="00025250" w:rsidRDefault="00025250" w14:paraId="0997AE74" w14:textId="77777777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Key decision: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tcMar/>
            <w:hideMark/>
          </w:tcPr>
          <w:p w:rsidRPr="009E30E2" w:rsidR="00025250" w:rsidP="0DCFC4A0" w:rsidRDefault="1F59DFEE" w14:paraId="1B0C58F5" w14:textId="51C10AC9">
            <w:pPr>
              <w:spacing w:line="259" w:lineRule="auto"/>
            </w:pPr>
            <w:r w:rsidRPr="0DCFC4A0">
              <w:rPr>
                <w:rFonts w:cs="Arial"/>
                <w:color w:val="auto"/>
              </w:rPr>
              <w:t>No</w:t>
            </w:r>
          </w:p>
        </w:tc>
      </w:tr>
      <w:tr w:rsidR="00025250" w:rsidTr="45003A96" w14:paraId="10A3E36F" w14:textId="77777777">
        <w:tc>
          <w:tcPr>
            <w:tcW w:w="243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/>
            <w:hideMark/>
          </w:tcPr>
          <w:p w:rsidR="00025250" w:rsidP="00025250" w:rsidRDefault="00025250" w14:paraId="55E06E9D" w14:textId="77777777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Cabinet Member: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tcMar/>
            <w:hideMark/>
          </w:tcPr>
          <w:p w:rsidRPr="009E30E2" w:rsidR="00025250" w:rsidP="00025250" w:rsidRDefault="28588B88" w14:paraId="1E006809" w14:textId="6E132A98">
            <w:pPr>
              <w:rPr>
                <w:color w:val="auto"/>
              </w:rPr>
            </w:pPr>
            <w:r w:rsidRPr="0DCFC4A0">
              <w:rPr>
                <w:color w:val="auto"/>
              </w:rPr>
              <w:t>Councillor Chewe Munkonge, Cabinet Member for a Healthy Oxford</w:t>
            </w:r>
          </w:p>
        </w:tc>
      </w:tr>
      <w:tr w:rsidR="00025250" w:rsidTr="45003A96" w14:paraId="7B700325" w14:textId="77777777">
        <w:tc>
          <w:tcPr>
            <w:tcW w:w="243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/>
          </w:tcPr>
          <w:p w:rsidR="00025250" w:rsidP="00025250" w:rsidRDefault="00025250" w14:paraId="7A58DBB5" w14:textId="77777777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Corporate Priority: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tcMar/>
          </w:tcPr>
          <w:p w:rsidRPr="009E30E2" w:rsidR="00025250" w:rsidP="00025250" w:rsidRDefault="30D8A289" w14:paraId="3DF1AC69" w14:textId="0B718AC5">
            <w:pPr>
              <w:rPr>
                <w:color w:val="auto"/>
              </w:rPr>
            </w:pPr>
            <w:r w:rsidRPr="0DCFC4A0">
              <w:rPr>
                <w:color w:val="auto"/>
              </w:rPr>
              <w:t>Thriving Communities</w:t>
            </w:r>
          </w:p>
        </w:tc>
      </w:tr>
      <w:tr w:rsidR="00025250" w:rsidTr="45003A96" w14:paraId="63186D5F" w14:textId="77777777">
        <w:tc>
          <w:tcPr>
            <w:tcW w:w="2438" w:type="dxa"/>
            <w:tcBorders>
              <w:top w:val="nil"/>
              <w:left w:val="single" w:color="000000" w:themeColor="text1" w:sz="8" w:space="0"/>
              <w:bottom w:val="single" w:color="auto" w:sz="4" w:space="0"/>
              <w:right w:val="nil"/>
            </w:tcBorders>
            <w:tcMar/>
            <w:hideMark/>
          </w:tcPr>
          <w:p w:rsidR="00025250" w:rsidP="00025250" w:rsidRDefault="00025250" w14:paraId="13359BD4" w14:textId="77777777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Policy Framework:</w:t>
            </w:r>
          </w:p>
        </w:tc>
        <w:tc>
          <w:tcPr>
            <w:tcW w:w="6407" w:type="dxa"/>
            <w:tcBorders>
              <w:top w:val="nil"/>
              <w:left w:val="nil"/>
              <w:bottom w:val="single" w:color="auto" w:sz="4" w:space="0"/>
              <w:right w:val="single" w:color="000000" w:themeColor="text1" w:sz="8" w:space="0"/>
            </w:tcBorders>
            <w:tcMar/>
            <w:hideMark/>
          </w:tcPr>
          <w:p w:rsidRPr="009E30E2" w:rsidR="00025250" w:rsidP="00025250" w:rsidRDefault="03CE3230" w14:paraId="0AA7D163" w14:textId="324045B3">
            <w:pPr>
              <w:rPr>
                <w:color w:val="auto"/>
              </w:rPr>
            </w:pPr>
            <w:r w:rsidRPr="0DCFC4A0">
              <w:rPr>
                <w:color w:val="auto"/>
              </w:rPr>
              <w:t>Thriving Communities Strategy</w:t>
            </w:r>
          </w:p>
        </w:tc>
      </w:tr>
    </w:tbl>
    <w:p w:rsidR="00CE544A" w:rsidP="004A6D2F" w:rsidRDefault="00CE544A" w14:paraId="3B28CE5F" w14:textId="77777777"/>
    <w:tbl>
      <w:tblPr>
        <w:tblW w:w="0" w:type="auto"/>
        <w:tblInd w:w="10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426"/>
        <w:gridCol w:w="8419"/>
      </w:tblGrid>
      <w:tr w:rsidRPr="00975B07" w:rsidR="00025250" w:rsidTr="6D4604B9" w14:paraId="75BF65A5" w14:textId="77777777">
        <w:trPr>
          <w:trHeight w:val="413"/>
        </w:trPr>
        <w:tc>
          <w:tcPr>
            <w:tcW w:w="8845" w:type="dxa"/>
            <w:gridSpan w:val="2"/>
            <w:tcBorders>
              <w:bottom w:val="single" w:color="000000" w:themeColor="text1" w:sz="8" w:space="0"/>
            </w:tcBorders>
          </w:tcPr>
          <w:p w:rsidRPr="00975B07" w:rsidR="00025250" w:rsidP="00FD0B08" w:rsidRDefault="00025250" w14:paraId="18FB24CC" w14:textId="140E9700">
            <w:r w:rsidRPr="62B73EE3">
              <w:rPr>
                <w:rStyle w:val="Firstpagetablebold"/>
              </w:rPr>
              <w:t>Recommendation(s):</w:t>
            </w:r>
            <w:r w:rsidRPr="62B73EE3" w:rsidR="571C62E4">
              <w:rPr>
                <w:rStyle w:val="Firstpagetablebold"/>
              </w:rPr>
              <w:t xml:space="preserve"> </w:t>
            </w:r>
            <w:r w:rsidRPr="62B73EE3">
              <w:rPr>
                <w:rStyle w:val="Firstpagetablebold"/>
                <w:b w:val="0"/>
              </w:rPr>
              <w:t>That Cabinet resolves to:</w:t>
            </w:r>
          </w:p>
        </w:tc>
      </w:tr>
      <w:tr w:rsidRPr="00975B07" w:rsidR="00025250" w:rsidTr="6D4604B9" w14:paraId="128A7C0D" w14:textId="77777777">
        <w:trPr>
          <w:trHeight w:val="283"/>
        </w:trPr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</w:tcPr>
          <w:p w:rsidRPr="00975B07" w:rsidR="00025250" w:rsidP="00FD0B08" w:rsidRDefault="00025250" w14:paraId="4AAB6C58" w14:textId="77777777">
            <w:r w:rsidRPr="00975B07">
              <w:t>1.</w:t>
            </w:r>
          </w:p>
        </w:tc>
        <w:tc>
          <w:tcPr>
            <w:tcW w:w="8419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8" w:space="0"/>
            </w:tcBorders>
            <w:shd w:val="clear" w:color="auto" w:fill="auto"/>
          </w:tcPr>
          <w:p w:rsidRPr="001356F1" w:rsidR="00025250" w:rsidP="00FD0B08" w:rsidRDefault="3C832A25" w14:paraId="2D683A1F" w14:textId="25B325C3">
            <w:r w:rsidRPr="6D4604B9">
              <w:rPr>
                <w:b/>
                <w:bCs/>
              </w:rPr>
              <w:t>Approve</w:t>
            </w:r>
            <w:r w:rsidR="1E087995">
              <w:t xml:space="preserve"> </w:t>
            </w:r>
            <w:r w:rsidR="20BF9EF1">
              <w:t xml:space="preserve">the </w:t>
            </w:r>
            <w:r w:rsidR="79EAD586">
              <w:t>L</w:t>
            </w:r>
            <w:r w:rsidR="20BF9EF1">
              <w:t>eisure Annual Service Plan 2025-26.</w:t>
            </w:r>
          </w:p>
        </w:tc>
      </w:tr>
      <w:tr w:rsidRPr="00975B07" w:rsidR="00025250" w:rsidTr="6D4604B9" w14:paraId="2BFBBF69" w14:textId="77777777">
        <w:trPr>
          <w:trHeight w:val="283"/>
        </w:trPr>
        <w:tc>
          <w:tcPr>
            <w:tcW w:w="426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nil"/>
            </w:tcBorders>
          </w:tcPr>
          <w:p w:rsidRPr="00975B07" w:rsidR="00025250" w:rsidP="00FD0B08" w:rsidRDefault="00025250" w14:paraId="328750F8" w14:textId="18EBB2FA"/>
        </w:tc>
        <w:tc>
          <w:tcPr>
            <w:tcW w:w="8419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356F1" w:rsidR="00025250" w:rsidP="00FD0B08" w:rsidRDefault="00025250" w14:paraId="0C3A19C8" w14:textId="77739011"/>
        </w:tc>
      </w:tr>
    </w:tbl>
    <w:p w:rsidR="00025250" w:rsidP="004A6D2F" w:rsidRDefault="00025250" w14:paraId="7D5A6705" w14:textId="77777777"/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845"/>
      </w:tblGrid>
      <w:tr w:rsidRPr="003E4C33" w:rsidR="00025250" w:rsidTr="2C74AB1E" w14:paraId="67F8F7AF" w14:textId="77777777">
        <w:trPr>
          <w:trHeight w:val="300"/>
        </w:trPr>
        <w:tc>
          <w:tcPr>
            <w:tcW w:w="8845" w:type="dxa"/>
            <w:tcMar/>
            <w:hideMark/>
          </w:tcPr>
          <w:p w:rsidRPr="00810B9D" w:rsidR="00025250" w:rsidP="00810B9D" w:rsidRDefault="6E0662DB" w14:paraId="59493166" w14:textId="1D81A9D3">
            <w:pPr>
              <w:jc w:val="center"/>
              <w:rPr>
                <w:rStyle w:val="Firstpagetablebold"/>
              </w:rPr>
            </w:pPr>
            <w:r w:rsidRPr="00810B9D">
              <w:rPr>
                <w:rStyle w:val="Firstpagetablebold"/>
              </w:rPr>
              <w:t xml:space="preserve">Information Exempt </w:t>
            </w:r>
            <w:proofErr w:type="gramStart"/>
            <w:r w:rsidRPr="00810B9D">
              <w:rPr>
                <w:rStyle w:val="Firstpagetablebold"/>
              </w:rPr>
              <w:t>From</w:t>
            </w:r>
            <w:proofErr w:type="gramEnd"/>
            <w:r w:rsidRPr="00810B9D">
              <w:rPr>
                <w:rStyle w:val="Firstpagetablebold"/>
              </w:rPr>
              <w:t xml:space="preserve"> Publication</w:t>
            </w:r>
          </w:p>
        </w:tc>
      </w:tr>
      <w:tr w:rsidRPr="003E4C33" w:rsidR="00810B9D" w:rsidTr="2C74AB1E" w14:paraId="40623F28" w14:textId="77777777">
        <w:trPr>
          <w:trHeight w:val="300"/>
        </w:trPr>
        <w:tc>
          <w:tcPr>
            <w:tcW w:w="8845" w:type="dxa"/>
            <w:tcMar/>
          </w:tcPr>
          <w:p w:rsidRPr="00810B9D" w:rsidR="00810B9D" w:rsidP="2C74AB1E" w:rsidRDefault="00810B9D" w14:paraId="5064A6DD" w14:textId="6907CE4A">
            <w:pPr>
              <w:rPr>
                <w:rStyle w:val="Firstpagetablebold"/>
                <w:b w:val="0"/>
                <w:bCs w:val="0"/>
              </w:rPr>
            </w:pPr>
            <w:r w:rsidRPr="2C74AB1E" w:rsidR="5DE2FF78">
              <w:rPr>
                <w:rStyle w:val="Firstpagetablebold"/>
                <w:b w:val="0"/>
                <w:bCs w:val="0"/>
              </w:rPr>
              <w:t>N/A – no exempt documents</w:t>
            </w:r>
          </w:p>
        </w:tc>
      </w:tr>
    </w:tbl>
    <w:p w:rsidR="00025250" w:rsidP="004A6D2F" w:rsidRDefault="00025250" w14:paraId="3E3DC543" w14:textId="77777777"/>
    <w:tbl>
      <w:tblPr>
        <w:tblW w:w="0" w:type="auto"/>
        <w:tblInd w:w="10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1912"/>
        <w:gridCol w:w="2803"/>
        <w:gridCol w:w="4455"/>
      </w:tblGrid>
      <w:tr w:rsidRPr="003E4C33" w:rsidR="002312EA" w:rsidTr="32EC2FAB" w14:paraId="469C2CEE" w14:textId="77777777">
        <w:trPr>
          <w:trHeight w:val="300"/>
        </w:trPr>
        <w:tc>
          <w:tcPr>
            <w:tcW w:w="1912" w:type="dxa"/>
            <w:tcBorders>
              <w:bottom w:val="single" w:color="auto" w:sz="4" w:space="0"/>
            </w:tcBorders>
            <w:tcMar/>
          </w:tcPr>
          <w:p w:rsidRPr="003E4C33" w:rsidR="002312EA" w:rsidP="00FD0B08" w:rsidRDefault="002312EA" w14:paraId="06B4268A" w14:textId="77777777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>A</w:t>
            </w:r>
            <w:r>
              <w:rPr>
                <w:rStyle w:val="Firstpagetablebold"/>
              </w:rPr>
              <w:t>ppendix No.</w:t>
            </w:r>
          </w:p>
        </w:tc>
        <w:tc>
          <w:tcPr>
            <w:tcW w:w="2803" w:type="dxa"/>
            <w:tcBorders>
              <w:bottom w:val="single" w:color="auto" w:sz="4" w:space="0"/>
            </w:tcBorders>
            <w:tcMar/>
          </w:tcPr>
          <w:p w:rsidRPr="003E4C33" w:rsidR="002312EA" w:rsidP="00FD0B08" w:rsidRDefault="002312EA" w14:paraId="48373E4B" w14:textId="77777777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 xml:space="preserve">Appendix Title </w:t>
            </w:r>
          </w:p>
        </w:tc>
        <w:tc>
          <w:tcPr>
            <w:tcW w:w="4455" w:type="dxa"/>
            <w:tcBorders>
              <w:bottom w:val="single" w:color="auto" w:sz="4" w:space="0"/>
            </w:tcBorders>
            <w:tcMar/>
          </w:tcPr>
          <w:p w:rsidRPr="003E4C33" w:rsidR="002312EA" w:rsidP="00FD0B08" w:rsidRDefault="002312EA" w14:paraId="0A5DAC00" w14:textId="77777777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>Exempt from Publication</w:t>
            </w:r>
          </w:p>
        </w:tc>
      </w:tr>
      <w:tr w:rsidRPr="003E4C33" w:rsidR="002312EA" w:rsidTr="32EC2FAB" w14:paraId="43C48BEB" w14:textId="77777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0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30E2" w:rsidR="002312EA" w:rsidP="00FD0B08" w:rsidRDefault="002312EA" w14:paraId="70747163" w14:textId="77777777">
            <w:pPr>
              <w:rPr>
                <w:rStyle w:val="Firstpagetablebold"/>
                <w:rFonts w:cs="Arial"/>
                <w:color w:val="auto"/>
              </w:rPr>
            </w:pPr>
            <w:r w:rsidRPr="009E30E2">
              <w:rPr>
                <w:rStyle w:val="Firstpagetablebold"/>
                <w:rFonts w:cs="Arial"/>
                <w:color w:val="auto"/>
              </w:rPr>
              <w:t>Appendix 1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30E2" w:rsidR="002312EA" w:rsidP="00FD0B08" w:rsidRDefault="001A3465" w14:paraId="3E2ED561" w14:textId="2211AE42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  <w:r>
              <w:rPr>
                <w:color w:val="auto"/>
              </w:rPr>
              <w:t xml:space="preserve">xford </w:t>
            </w:r>
            <w:r w:rsidRPr="31F9E402" w:rsidR="6AA28220">
              <w:rPr>
                <w:rFonts w:cs="Arial"/>
                <w:color w:val="auto"/>
              </w:rPr>
              <w:t>Annual Service Plan 2025-26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3465" w:rsidR="002312EA" w:rsidP="001A3465" w:rsidRDefault="001A3465" w14:paraId="7856CA49" w14:textId="523D005A">
            <w:pPr>
              <w:ind w:left="426" w:hanging="426"/>
              <w:rPr>
                <w:rFonts w:cs="Arial"/>
                <w:color w:val="auto"/>
              </w:rPr>
            </w:pPr>
            <w:r w:rsidRPr="001A3465">
              <w:rPr>
                <w:rFonts w:cs="Arial"/>
                <w:color w:val="auto"/>
              </w:rPr>
              <w:t>N</w:t>
            </w:r>
            <w:r w:rsidRPr="001A3465">
              <w:rPr>
                <w:color w:val="auto"/>
              </w:rPr>
              <w:t>o</w:t>
            </w:r>
          </w:p>
          <w:p w:rsidRPr="009E30E2" w:rsidR="002312EA" w:rsidP="00FD0B08" w:rsidRDefault="002312EA" w14:paraId="349B4576" w14:textId="77777777">
            <w:pPr>
              <w:ind w:left="18" w:hanging="18"/>
              <w:rPr>
                <w:rFonts w:cs="Arial"/>
                <w:color w:val="auto"/>
              </w:rPr>
            </w:pPr>
          </w:p>
        </w:tc>
      </w:tr>
      <w:tr w:rsidR="6729B58E" w:rsidTr="32EC2FAB" w14:paraId="190ECEC7">
        <w:trPr>
          <w:trHeight w:val="300"/>
        </w:trPr>
        <w:tc>
          <w:tcPr>
            <w:tcW w:w="1912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tcMar/>
          </w:tcPr>
          <w:p w:rsidR="6729B58E" w:rsidP="6729B58E" w:rsidRDefault="6729B58E" w14:noSpellErr="1" w14:paraId="125EE536" w14:textId="4184E5B0">
            <w:pPr>
              <w:rPr>
                <w:rStyle w:val="Firstpagetablebold"/>
                <w:rFonts w:cs="Arial"/>
                <w:color w:val="auto"/>
                <w:highlight w:val="yellow"/>
              </w:rPr>
            </w:pPr>
            <w:r w:rsidRPr="6729B58E" w:rsidR="6729B58E">
              <w:rPr>
                <w:rStyle w:val="Firstpagetablebold"/>
                <w:rFonts w:cs="Arial"/>
                <w:color w:val="auto"/>
              </w:rPr>
              <w:t xml:space="preserve">Appendix </w:t>
            </w:r>
            <w:r w:rsidRPr="6729B58E" w:rsidR="6729B58E">
              <w:rPr>
                <w:rStyle w:val="Firstpagetablebold"/>
                <w:rFonts w:cs="Arial"/>
                <w:color w:val="auto"/>
              </w:rPr>
              <w:t>2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C0E11D4" w:rsidP="6729B58E" w:rsidRDefault="6C0E11D4" w14:paraId="16F38669" w14:textId="28892804">
            <w:pPr>
              <w:pStyle w:val="Normal"/>
              <w:rPr>
                <w:rFonts w:cs="Arial"/>
                <w:color w:val="auto"/>
              </w:rPr>
            </w:pPr>
            <w:r w:rsidRPr="6729B58E" w:rsidR="6C0E11D4">
              <w:rPr>
                <w:rFonts w:cs="Arial"/>
                <w:color w:val="auto"/>
              </w:rPr>
              <w:t>Active Communities Plan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tcMar/>
          </w:tcPr>
          <w:p w:rsidR="6C0E11D4" w:rsidP="6729B58E" w:rsidRDefault="6C0E11D4" w14:paraId="65747CD8" w14:textId="14331911">
            <w:pPr>
              <w:pStyle w:val="Normal"/>
              <w:spacing w:line="259" w:lineRule="auto"/>
              <w:rPr>
                <w:rFonts w:cs="Arial"/>
                <w:color w:val="auto"/>
              </w:rPr>
            </w:pPr>
            <w:r w:rsidRPr="6729B58E" w:rsidR="6C0E11D4">
              <w:rPr>
                <w:rFonts w:cs="Arial"/>
                <w:color w:val="auto"/>
              </w:rPr>
              <w:t>No</w:t>
            </w:r>
          </w:p>
        </w:tc>
      </w:tr>
      <w:tr w:rsidR="6729B58E" w:rsidTr="32EC2FAB" w14:paraId="4734525D">
        <w:trPr>
          <w:trHeight w:val="300"/>
        </w:trPr>
        <w:tc>
          <w:tcPr>
            <w:tcW w:w="1912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tcMar/>
          </w:tcPr>
          <w:p w:rsidR="6729B58E" w:rsidP="6729B58E" w:rsidRDefault="6729B58E" w14:paraId="3ED94A9F" w14:textId="647FE7C8">
            <w:pPr>
              <w:rPr>
                <w:rStyle w:val="Firstpagetablebold"/>
                <w:rFonts w:cs="Arial"/>
                <w:color w:val="auto"/>
              </w:rPr>
            </w:pPr>
            <w:r w:rsidRPr="2C74AB1E" w:rsidR="46440132">
              <w:rPr>
                <w:rStyle w:val="Firstpagetablebold"/>
                <w:rFonts w:cs="Arial"/>
                <w:color w:val="auto"/>
              </w:rPr>
              <w:t>Appendix 3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B85938" w:rsidP="6729B58E" w:rsidRDefault="11B85938" w14:paraId="0B09B121" w14:textId="5DD2E65E">
            <w:pPr>
              <w:pStyle w:val="Normal"/>
              <w:rPr>
                <w:rFonts w:cs="Arial"/>
                <w:color w:val="auto"/>
              </w:rPr>
            </w:pPr>
            <w:r w:rsidRPr="2C74AB1E" w:rsidR="30D91E83">
              <w:rPr>
                <w:rFonts w:cs="Arial"/>
                <w:color w:val="auto"/>
              </w:rPr>
              <w:t>Leisure Upgrades Overview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tcMar/>
          </w:tcPr>
          <w:p w:rsidR="11B85938" w:rsidP="6729B58E" w:rsidRDefault="11B85938" w14:paraId="205462DB" w14:textId="40565954">
            <w:pPr>
              <w:pStyle w:val="Normal"/>
              <w:spacing w:line="259" w:lineRule="auto"/>
              <w:rPr>
                <w:rFonts w:cs="Arial"/>
                <w:color w:val="auto"/>
              </w:rPr>
            </w:pPr>
            <w:r w:rsidRPr="2C74AB1E" w:rsidR="30D91E83">
              <w:rPr>
                <w:rFonts w:cs="Arial"/>
                <w:color w:val="auto"/>
              </w:rPr>
              <w:t>No</w:t>
            </w:r>
          </w:p>
        </w:tc>
      </w:tr>
      <w:tr w:rsidRPr="003E4C33" w:rsidR="002312EA" w:rsidTr="32EC2FAB" w14:paraId="5332D292" w14:textId="77777777">
        <w:trPr>
          <w:trHeight w:val="300"/>
        </w:trPr>
        <w:tc>
          <w:tcPr>
            <w:tcW w:w="1912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tcMar/>
          </w:tcPr>
          <w:p w:rsidRPr="009E30E2" w:rsidR="002312EA" w:rsidP="32EC2FAB" w:rsidRDefault="60980C2C" w14:paraId="66389E38" w14:textId="70843656">
            <w:pPr>
              <w:rPr>
                <w:rStyle w:val="Firstpagetablebold"/>
                <w:rFonts w:cs="Arial"/>
                <w:color w:val="auto"/>
              </w:rPr>
            </w:pPr>
            <w:r w:rsidRPr="32EC2FAB" w:rsidR="4389AF01">
              <w:rPr>
                <w:rStyle w:val="Firstpagetablebold"/>
                <w:rFonts w:cs="Arial"/>
                <w:color w:val="auto"/>
              </w:rPr>
              <w:t xml:space="preserve">Appendix </w:t>
            </w:r>
            <w:r w:rsidRPr="32EC2FAB" w:rsidR="1B32D3D5">
              <w:rPr>
                <w:rStyle w:val="Firstpagetablebold"/>
                <w:rFonts w:cs="Arial"/>
                <w:color w:val="auto"/>
              </w:rPr>
              <w:t>4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30E2" w:rsidR="002312EA" w:rsidP="32EC2FAB" w:rsidRDefault="56FD71B4" w14:paraId="251AC11B" w14:textId="0FA5F4FD">
            <w:pPr>
              <w:rPr>
                <w:rFonts w:cs="Arial"/>
                <w:color w:val="auto"/>
              </w:rPr>
            </w:pPr>
            <w:r w:rsidRPr="32EC2FAB" w:rsidR="2C4723B4">
              <w:rPr>
                <w:rFonts w:cs="Arial"/>
                <w:color w:val="auto"/>
              </w:rPr>
              <w:t>Risk Register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tcMar/>
          </w:tcPr>
          <w:p w:rsidRPr="009E30E2" w:rsidR="002312EA" w:rsidP="32EC2FAB" w:rsidRDefault="74935187" w14:paraId="0E6EFED4" w14:textId="4AC25128">
            <w:pPr>
              <w:spacing w:line="259" w:lineRule="auto"/>
              <w:rPr>
                <w:rFonts w:cs="Arial"/>
                <w:color w:val="auto"/>
              </w:rPr>
            </w:pPr>
            <w:r w:rsidRPr="32EC2FAB" w:rsidR="74935187">
              <w:rPr>
                <w:rFonts w:cs="Arial"/>
                <w:color w:val="auto"/>
              </w:rPr>
              <w:t>No</w:t>
            </w:r>
          </w:p>
        </w:tc>
      </w:tr>
      <w:tr w:rsidR="31F9E402" w:rsidTr="32EC2FAB" w14:paraId="7E8C10C5" w14:textId="77777777">
        <w:trPr>
          <w:trHeight w:val="300"/>
        </w:trPr>
        <w:tc>
          <w:tcPr>
            <w:tcW w:w="1912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tcMar/>
          </w:tcPr>
          <w:p w:rsidR="74935187" w:rsidP="32EC2FAB" w:rsidRDefault="74935187" w14:paraId="60A9EB27" w14:textId="0B6033D9">
            <w:pPr>
              <w:rPr>
                <w:rStyle w:val="Firstpagetablebold"/>
                <w:rFonts w:cs="Arial"/>
                <w:color w:val="auto"/>
              </w:rPr>
            </w:pPr>
            <w:r w:rsidRPr="32EC2FAB" w:rsidR="436B137B">
              <w:rPr>
                <w:rStyle w:val="Firstpagetablebold"/>
                <w:rFonts w:cs="Arial"/>
                <w:color w:val="auto"/>
              </w:rPr>
              <w:t xml:space="preserve">Appendix </w:t>
            </w:r>
            <w:r w:rsidRPr="32EC2FAB" w:rsidR="02C8780C">
              <w:rPr>
                <w:rStyle w:val="Firstpagetablebold"/>
                <w:rFonts w:cs="Arial"/>
                <w:color w:val="auto"/>
              </w:rPr>
              <w:t>5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4935187" w:rsidP="32EC2FAB" w:rsidRDefault="74935187" w14:paraId="42F75526" w14:textId="5522AA37">
            <w:pPr>
              <w:rPr>
                <w:rFonts w:cs="Arial"/>
                <w:color w:val="auto"/>
              </w:rPr>
            </w:pPr>
            <w:r w:rsidRPr="32EC2FAB" w:rsidR="436B137B">
              <w:rPr>
                <w:rFonts w:cs="Arial"/>
                <w:color w:val="auto"/>
              </w:rPr>
              <w:t>Equalities Impact Assessment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tcMar/>
          </w:tcPr>
          <w:p w:rsidR="74935187" w:rsidP="31F9E402" w:rsidRDefault="74935187" w14:paraId="1AC88CD1" w14:textId="7134CFE7">
            <w:pPr>
              <w:rPr>
                <w:rFonts w:cs="Arial"/>
                <w:color w:val="auto"/>
              </w:rPr>
            </w:pPr>
            <w:r w:rsidRPr="32EC2FAB" w:rsidR="74935187">
              <w:rPr>
                <w:rFonts w:cs="Arial"/>
                <w:color w:val="auto"/>
              </w:rPr>
              <w:t>No</w:t>
            </w:r>
          </w:p>
        </w:tc>
      </w:tr>
    </w:tbl>
    <w:p w:rsidR="002312EA" w:rsidP="004A6D2F" w:rsidRDefault="002312EA" w14:paraId="572B1CF3" w14:textId="77777777"/>
    <w:p w:rsidRPr="001356F1" w:rsidR="0040736F" w:rsidP="004A6D2F" w:rsidRDefault="006115DA" w14:paraId="50E21B3B" w14:textId="77777777">
      <w:pPr>
        <w:pStyle w:val="Heading1"/>
      </w:pPr>
      <w:r>
        <w:t>Introduction and b</w:t>
      </w:r>
      <w:r w:rsidR="7FCC5E44">
        <w:t>ackground</w:t>
      </w:r>
      <w:r w:rsidR="50FFC7FD">
        <w:t xml:space="preserve"> </w:t>
      </w:r>
    </w:p>
    <w:p w:rsidR="287E73A1" w:rsidP="31F9E402" w:rsidRDefault="7E64579A" w14:paraId="5327C6DA" w14:textId="0D791918">
      <w:pPr>
        <w:pStyle w:val="bParagraphtext"/>
        <w:numPr>
          <w:ilvl w:val="0"/>
          <w:numId w:val="2"/>
        </w:numPr>
        <w:spacing w:line="259" w:lineRule="auto"/>
        <w:rPr>
          <w:rFonts w:cs="Arial"/>
          <w:color w:val="auto"/>
        </w:rPr>
      </w:pPr>
      <w:r w:rsidRPr="45003A96" w:rsidR="3B4B37A1">
        <w:rPr>
          <w:rFonts w:cs="Arial"/>
          <w:color w:val="auto"/>
        </w:rPr>
        <w:t xml:space="preserve">The </w:t>
      </w:r>
      <w:r w:rsidRPr="45003A96" w:rsidR="7E64579A">
        <w:rPr>
          <w:rFonts w:cs="Arial"/>
          <w:color w:val="auto"/>
        </w:rPr>
        <w:t xml:space="preserve">Cabinet agreed on 24 January 2024 to receive annual reports on the performance of </w:t>
      </w:r>
      <w:r w:rsidRPr="45003A96" w:rsidR="07E8B8D0">
        <w:rPr>
          <w:rFonts w:cs="Arial"/>
          <w:color w:val="auto"/>
        </w:rPr>
        <w:t xml:space="preserve">the Council’s leisure </w:t>
      </w:r>
      <w:r w:rsidRPr="45003A96" w:rsidR="1C809C3E">
        <w:rPr>
          <w:rFonts w:cs="Arial"/>
          <w:color w:val="auto"/>
        </w:rPr>
        <w:t>contractor and</w:t>
      </w:r>
      <w:r w:rsidRPr="45003A96" w:rsidR="7E64579A">
        <w:rPr>
          <w:rFonts w:cs="Arial"/>
          <w:color w:val="auto"/>
        </w:rPr>
        <w:t xml:space="preserve"> agree the </w:t>
      </w:r>
      <w:r w:rsidRPr="45003A96" w:rsidR="57CC2271">
        <w:rPr>
          <w:rFonts w:cs="Arial"/>
          <w:color w:val="auto"/>
        </w:rPr>
        <w:t xml:space="preserve">service </w:t>
      </w:r>
      <w:r w:rsidRPr="45003A96" w:rsidR="7E64579A">
        <w:rPr>
          <w:rFonts w:cs="Arial"/>
          <w:color w:val="auto"/>
        </w:rPr>
        <w:t>plan priorities for the following year.</w:t>
      </w:r>
    </w:p>
    <w:p w:rsidR="3E86170B" w:rsidP="6D4604B9" w:rsidRDefault="7ADD265A" w14:paraId="4BBCEA46" w14:textId="63D915F8">
      <w:pPr>
        <w:pStyle w:val="bParagraphtext"/>
        <w:numPr>
          <w:ilvl w:val="0"/>
          <w:numId w:val="2"/>
        </w:numPr>
        <w:spacing w:line="259" w:lineRule="auto"/>
        <w:rPr>
          <w:rFonts w:cs="Arial"/>
          <w:color w:val="auto"/>
        </w:rPr>
      </w:pPr>
      <w:r w:rsidRPr="45003A96" w:rsidR="032F45AE">
        <w:rPr>
          <w:rFonts w:cs="Arial"/>
          <w:color w:val="auto"/>
        </w:rPr>
        <w:t>The</w:t>
      </w:r>
      <w:r w:rsidRPr="45003A96" w:rsidR="7ADD265A">
        <w:rPr>
          <w:rFonts w:cs="Arial"/>
          <w:color w:val="auto"/>
        </w:rPr>
        <w:t xml:space="preserve"> Council </w:t>
      </w:r>
      <w:r w:rsidRPr="45003A96" w:rsidR="758BCA5F">
        <w:rPr>
          <w:rFonts w:cs="Arial"/>
          <w:color w:val="auto"/>
        </w:rPr>
        <w:t xml:space="preserve">appointed </w:t>
      </w:r>
      <w:r w:rsidRPr="45003A96" w:rsidR="4B4F6655">
        <w:rPr>
          <w:rFonts w:cs="Arial"/>
          <w:color w:val="auto"/>
        </w:rPr>
        <w:t>its</w:t>
      </w:r>
      <w:r w:rsidRPr="45003A96" w:rsidR="758BCA5F">
        <w:rPr>
          <w:rFonts w:cs="Arial"/>
          <w:color w:val="auto"/>
        </w:rPr>
        <w:t xml:space="preserve"> new leisure contractor (More Leisure) on 27 Marc</w:t>
      </w:r>
      <w:r w:rsidRPr="45003A96" w:rsidR="09B8FB19">
        <w:rPr>
          <w:rFonts w:cs="Arial"/>
          <w:color w:val="auto"/>
        </w:rPr>
        <w:t xml:space="preserve">h </w:t>
      </w:r>
      <w:r w:rsidRPr="45003A96" w:rsidR="172BE0CE">
        <w:rPr>
          <w:rFonts w:cs="Arial"/>
          <w:color w:val="auto"/>
        </w:rPr>
        <w:t>2024,</w:t>
      </w:r>
      <w:r w:rsidRPr="45003A96" w:rsidR="5E564D31">
        <w:rPr>
          <w:rFonts w:cs="Arial"/>
          <w:color w:val="auto"/>
        </w:rPr>
        <w:t xml:space="preserve"> </w:t>
      </w:r>
      <w:r w:rsidRPr="45003A96" w:rsidR="758BCA5F">
        <w:rPr>
          <w:rFonts w:cs="Arial"/>
          <w:color w:val="auto"/>
        </w:rPr>
        <w:t xml:space="preserve">and </w:t>
      </w:r>
      <w:r w:rsidRPr="45003A96" w:rsidR="7889B9DB">
        <w:rPr>
          <w:rFonts w:cs="Arial"/>
          <w:color w:val="auto"/>
        </w:rPr>
        <w:t>provision</w:t>
      </w:r>
      <w:r w:rsidRPr="45003A96" w:rsidR="758BCA5F">
        <w:rPr>
          <w:rFonts w:cs="Arial"/>
          <w:color w:val="auto"/>
        </w:rPr>
        <w:t xml:space="preserve"> officially started on 30 March 2024</w:t>
      </w:r>
      <w:r w:rsidRPr="45003A96" w:rsidR="147EF7C6">
        <w:rPr>
          <w:rFonts w:cs="Arial"/>
          <w:color w:val="auto"/>
        </w:rPr>
        <w:t>.</w:t>
      </w:r>
    </w:p>
    <w:p w:rsidR="287E73A1" w:rsidP="31F9E402" w:rsidRDefault="11E7DCCA" w14:paraId="7DB43DC8" w14:textId="44BD8041">
      <w:pPr>
        <w:pStyle w:val="bParagraphtext"/>
        <w:numPr>
          <w:ilvl w:val="0"/>
          <w:numId w:val="2"/>
        </w:numPr>
        <w:spacing w:line="259" w:lineRule="auto"/>
        <w:rPr>
          <w:rFonts w:cs="Arial"/>
          <w:color w:val="auto"/>
        </w:rPr>
      </w:pPr>
      <w:r>
        <w:t>This report provides an update on the first year of the contract and an overview of the Annual Service Plan for Year 2 (2025</w:t>
      </w:r>
      <w:r w:rsidR="00976609">
        <w:t>-</w:t>
      </w:r>
      <w:r>
        <w:t>26).</w:t>
      </w:r>
    </w:p>
    <w:p w:rsidR="78D4F520" w:rsidP="0DBE7487" w:rsidRDefault="78D4F520" w14:paraId="0F06423A" w14:textId="4C5350F7">
      <w:pPr>
        <w:pStyle w:val="bParagraphtext"/>
        <w:numPr>
          <w:ilvl w:val="0"/>
          <w:numId w:val="2"/>
        </w:numPr>
        <w:spacing w:line="259" w:lineRule="auto"/>
        <w:rPr/>
      </w:pPr>
      <w:r w:rsidR="78D4F520">
        <w:rPr/>
        <w:t xml:space="preserve">The Annual Service Plan </w:t>
      </w:r>
      <w:r w:rsidR="78D4F520">
        <w:rPr/>
        <w:t xml:space="preserve">will be reviewed in monthly client meetings and the quarterly </w:t>
      </w:r>
      <w:r w:rsidR="5BA8177A">
        <w:rPr/>
        <w:t xml:space="preserve">meetings of the </w:t>
      </w:r>
      <w:r w:rsidR="78D4F520">
        <w:rPr/>
        <w:t xml:space="preserve">Strategic Partnership </w:t>
      </w:r>
      <w:r w:rsidR="78D4F520">
        <w:rPr/>
        <w:t>Board</w:t>
      </w:r>
      <w:r w:rsidR="78D4F520">
        <w:rPr/>
        <w:t xml:space="preserve"> which includes officers from the Council and M</w:t>
      </w:r>
      <w:r w:rsidR="21521404">
        <w:rPr/>
        <w:t xml:space="preserve">ore Leisure’s senior management teams, </w:t>
      </w:r>
      <w:r w:rsidR="78D4F520">
        <w:rPr/>
        <w:t xml:space="preserve">and </w:t>
      </w:r>
      <w:r w:rsidR="3682B56C">
        <w:rPr/>
        <w:t xml:space="preserve">key </w:t>
      </w:r>
      <w:r w:rsidR="78D4F520">
        <w:rPr/>
        <w:t xml:space="preserve">partners </w:t>
      </w:r>
      <w:r w:rsidR="0CA72B97">
        <w:rPr/>
        <w:t xml:space="preserve">such as </w:t>
      </w:r>
      <w:r w:rsidR="78D4F520">
        <w:rPr/>
        <w:t>Active O</w:t>
      </w:r>
      <w:r w:rsidR="7721E018">
        <w:rPr/>
        <w:t>xfordshire</w:t>
      </w:r>
      <w:r w:rsidR="78D4F520">
        <w:rPr/>
        <w:t xml:space="preserve">, Public </w:t>
      </w:r>
      <w:r w:rsidR="78D4F520">
        <w:rPr/>
        <w:t>Health</w:t>
      </w:r>
      <w:r w:rsidR="6CA14AF4">
        <w:rPr/>
        <w:t xml:space="preserve"> and the </w:t>
      </w:r>
      <w:r w:rsidR="3725E915">
        <w:rPr/>
        <w:t>Integrated Care Board (ICB)</w:t>
      </w:r>
    </w:p>
    <w:p w:rsidR="0BFEC37B" w:rsidP="31F9E402" w:rsidRDefault="0BFEC37B" w14:paraId="3BD5D2EA" w14:textId="0FBD528A">
      <w:pPr>
        <w:pStyle w:val="Heading1"/>
        <w:spacing w:line="259" w:lineRule="auto"/>
      </w:pPr>
      <w:r w:rsidR="0BFEC37B">
        <w:rPr/>
        <w:t>First year performance</w:t>
      </w:r>
    </w:p>
    <w:p w:rsidRPr="002B6836" w:rsidR="00E87F7A" w:rsidP="308D641F" w:rsidRDefault="081D2E30" w14:paraId="70524038" w14:textId="69C4CE7A">
      <w:pPr>
        <w:pStyle w:val="bParagraphtext"/>
        <w:numPr>
          <w:ilvl w:val="0"/>
          <w:numId w:val="2"/>
        </w:numPr>
        <w:rPr/>
      </w:pPr>
      <w:r w:rsidR="081D2E30">
        <w:rPr/>
        <w:t xml:space="preserve">A summary of the first year’s performance </w:t>
      </w:r>
      <w:r w:rsidR="3AA8F00C">
        <w:rPr/>
        <w:t xml:space="preserve">of the leisure contract </w:t>
      </w:r>
      <w:r w:rsidR="081D2E30">
        <w:rPr/>
        <w:t xml:space="preserve">is highlighted below. </w:t>
      </w:r>
      <w:r w:rsidR="1233E171">
        <w:rPr/>
        <w:t xml:space="preserve">The first year of performance in the contract is to </w:t>
      </w:r>
      <w:r w:rsidR="1233E171">
        <w:rPr/>
        <w:t>establish</w:t>
      </w:r>
      <w:r w:rsidR="1233E171">
        <w:rPr/>
        <w:t xml:space="preserve"> a baseline for future years. </w:t>
      </w:r>
      <w:r w:rsidR="6203F367">
        <w:rPr/>
        <w:t>It is important to note that at the start of the con</w:t>
      </w:r>
      <w:r w:rsidR="189F365A">
        <w:rPr/>
        <w:t>tract</w:t>
      </w:r>
      <w:r w:rsidR="6203F367">
        <w:rPr/>
        <w:t xml:space="preserve"> </w:t>
      </w:r>
      <w:r w:rsidR="02816F6F">
        <w:rPr/>
        <w:t xml:space="preserve">there was a transition of both computer and </w:t>
      </w:r>
      <w:r w:rsidR="14FDE37A">
        <w:rPr/>
        <w:t xml:space="preserve">customer entry </w:t>
      </w:r>
      <w:r w:rsidR="02816F6F">
        <w:rPr/>
        <w:t>systems</w:t>
      </w:r>
      <w:r w:rsidR="51D84F9B">
        <w:rPr/>
        <w:t xml:space="preserve"> (turnstiles)</w:t>
      </w:r>
      <w:r w:rsidR="02816F6F">
        <w:rPr/>
        <w:t xml:space="preserve">. </w:t>
      </w:r>
      <w:r w:rsidR="03CDA3E0">
        <w:rPr/>
        <w:t xml:space="preserve">While systems were being </w:t>
      </w:r>
      <w:r w:rsidR="03CDA3E0">
        <w:rPr/>
        <w:t>initiated</w:t>
      </w:r>
      <w:r w:rsidR="03CDA3E0">
        <w:rPr/>
        <w:t xml:space="preserve"> and t</w:t>
      </w:r>
      <w:r w:rsidR="29379317">
        <w:rPr/>
        <w:t xml:space="preserve">o minimise the impact </w:t>
      </w:r>
      <w:r w:rsidR="2B209BC2">
        <w:rPr/>
        <w:t xml:space="preserve">on </w:t>
      </w:r>
      <w:r w:rsidR="29379317">
        <w:rPr/>
        <w:t>communities and citizens</w:t>
      </w:r>
      <w:r w:rsidR="7C930147">
        <w:rPr/>
        <w:t xml:space="preserve"> (i.e. granting entry but not recording</w:t>
      </w:r>
      <w:r w:rsidR="28BB5802">
        <w:rPr/>
        <w:t xml:space="preserve"> full details</w:t>
      </w:r>
      <w:r w:rsidR="7C930147">
        <w:rPr/>
        <w:t>)</w:t>
      </w:r>
      <w:r w:rsidR="29379317">
        <w:rPr/>
        <w:t>,</w:t>
      </w:r>
      <w:r w:rsidR="29379317">
        <w:rPr/>
        <w:t xml:space="preserve"> not </w:t>
      </w:r>
      <w:r w:rsidR="02816F6F">
        <w:rPr/>
        <w:t xml:space="preserve">all </w:t>
      </w:r>
      <w:r w:rsidR="3E62CBE2">
        <w:rPr/>
        <w:t xml:space="preserve">user </w:t>
      </w:r>
      <w:r w:rsidR="02816F6F">
        <w:rPr/>
        <w:t>data at point of sale w</w:t>
      </w:r>
      <w:r w:rsidR="577F8173">
        <w:rPr/>
        <w:t xml:space="preserve">ill have been captured. </w:t>
      </w:r>
      <w:r w:rsidR="3D6BD95F">
        <w:rPr/>
        <w:t>Headline figures include:</w:t>
      </w:r>
    </w:p>
    <w:p w:rsidR="1299A5FD" w:rsidP="308D641F" w:rsidRDefault="1299A5FD" w14:paraId="74495B60" w14:textId="67349A8E">
      <w:pPr>
        <w:pStyle w:val="bParagraphtext"/>
        <w:numPr>
          <w:ilvl w:val="1"/>
          <w:numId w:val="2"/>
        </w:numPr>
        <w:rPr/>
      </w:pPr>
      <w:r w:rsidR="1299A5FD">
        <w:rPr/>
        <w:t>2</w:t>
      </w:r>
      <w:r w:rsidR="31491AA8">
        <w:rPr/>
        <w:t>80</w:t>
      </w:r>
      <w:r w:rsidR="1299A5FD">
        <w:rPr/>
        <w:t>,</w:t>
      </w:r>
      <w:r w:rsidR="60AF4C64">
        <w:rPr/>
        <w:t>311</w:t>
      </w:r>
      <w:r w:rsidR="1299A5FD">
        <w:rPr/>
        <w:t xml:space="preserve"> recorded visits</w:t>
      </w:r>
      <w:r w:rsidR="778FF73E">
        <w:rPr/>
        <w:t xml:space="preserve"> (compared to an estimated </w:t>
      </w:r>
      <w:r w:rsidR="1205DCDB">
        <w:rPr/>
        <w:t>474,000</w:t>
      </w:r>
      <w:r w:rsidR="778FF73E">
        <w:rPr/>
        <w:t xml:space="preserve"> visits in the previous year</w:t>
      </w:r>
      <w:r w:rsidR="0429F9C7">
        <w:rPr/>
        <w:t xml:space="preserve">; NB </w:t>
      </w:r>
      <w:r w:rsidR="09A8F510">
        <w:rPr/>
        <w:t xml:space="preserve">there is </w:t>
      </w:r>
      <w:r w:rsidR="0429F9C7">
        <w:rPr/>
        <w:t>low</w:t>
      </w:r>
      <w:r w:rsidR="3CCF8D31">
        <w:rPr/>
        <w:t>er</w:t>
      </w:r>
      <w:r w:rsidR="0429F9C7">
        <w:rPr/>
        <w:t xml:space="preserve"> confidence in </w:t>
      </w:r>
      <w:r w:rsidR="14B466E4">
        <w:rPr/>
        <w:t xml:space="preserve">how robust the </w:t>
      </w:r>
      <w:r w:rsidR="0429F9C7">
        <w:rPr/>
        <w:t>previous</w:t>
      </w:r>
      <w:r w:rsidR="0429F9C7">
        <w:rPr/>
        <w:t xml:space="preserve"> year’s figure</w:t>
      </w:r>
      <w:r w:rsidR="7F895A2D">
        <w:rPr/>
        <w:t>s</w:t>
      </w:r>
      <w:r w:rsidR="16277D24">
        <w:rPr/>
        <w:t xml:space="preserve"> were given actual intel from visits at site</w:t>
      </w:r>
      <w:r w:rsidR="778FF73E">
        <w:rPr/>
        <w:t>)</w:t>
      </w:r>
    </w:p>
    <w:p w:rsidR="2D27F5A3" w:rsidP="0F0E75F1" w:rsidRDefault="2D27F5A3" w14:paraId="5E121CC4" w14:textId="171F799A">
      <w:pPr>
        <w:pStyle w:val="bParagraphtext"/>
        <w:numPr>
          <w:ilvl w:val="1"/>
          <w:numId w:val="2"/>
        </w:numPr>
        <w:rPr>
          <w:highlight w:val="yellow"/>
        </w:rPr>
      </w:pPr>
      <w:r w:rsidR="2D27F5A3">
        <w:rPr/>
        <w:t>1</w:t>
      </w:r>
      <w:r w:rsidR="1C9759D8">
        <w:rPr/>
        <w:t>2</w:t>
      </w:r>
      <w:r w:rsidR="2D27F5A3">
        <w:rPr/>
        <w:t>,</w:t>
      </w:r>
      <w:r w:rsidR="54614053">
        <w:rPr/>
        <w:t>8</w:t>
      </w:r>
      <w:r w:rsidR="003F331F">
        <w:rPr/>
        <w:t>03</w:t>
      </w:r>
      <w:r w:rsidR="2D27F5A3">
        <w:rPr/>
        <w:t xml:space="preserve"> </w:t>
      </w:r>
      <w:r w:rsidR="2D27F5A3">
        <w:rPr/>
        <w:t>pay</w:t>
      </w:r>
      <w:r w:rsidR="2D27F5A3">
        <w:rPr/>
        <w:t xml:space="preserve"> as you go members </w:t>
      </w:r>
      <w:r w:rsidR="456835DE">
        <w:rPr/>
        <w:t>(</w:t>
      </w:r>
      <w:r w:rsidR="60AB9F98">
        <w:rPr/>
        <w:t xml:space="preserve">comparison </w:t>
      </w:r>
      <w:r w:rsidR="456835DE">
        <w:rPr/>
        <w:t xml:space="preserve">data not collected by </w:t>
      </w:r>
      <w:r w:rsidR="456835DE">
        <w:rPr/>
        <w:t>previous</w:t>
      </w:r>
      <w:r w:rsidR="456835DE">
        <w:rPr/>
        <w:t xml:space="preserve"> operator)</w:t>
      </w:r>
    </w:p>
    <w:p w:rsidR="443921EC" w:rsidP="0628675A" w:rsidRDefault="00D044E4" w14:paraId="0D304C2C" w14:textId="29D9DCD1">
      <w:pPr>
        <w:pStyle w:val="bParagraphtext"/>
        <w:numPr>
          <w:ilvl w:val="1"/>
          <w:numId w:val="2"/>
        </w:numPr>
        <w:rPr/>
      </w:pPr>
      <w:r w:rsidR="48E14805">
        <w:rPr/>
        <w:t>4</w:t>
      </w:r>
      <w:r w:rsidR="443921EC">
        <w:rPr/>
        <w:t>,</w:t>
      </w:r>
      <w:r w:rsidR="0D23AAE0">
        <w:rPr/>
        <w:t>611</w:t>
      </w:r>
      <w:r w:rsidR="443921EC">
        <w:rPr/>
        <w:t xml:space="preserve"> </w:t>
      </w:r>
      <w:r w:rsidR="6C57B6EA">
        <w:rPr/>
        <w:t xml:space="preserve">total </w:t>
      </w:r>
      <w:r w:rsidR="443921EC">
        <w:rPr/>
        <w:t>members</w:t>
      </w:r>
      <w:r w:rsidR="54DB65A3">
        <w:rPr/>
        <w:t xml:space="preserve">, </w:t>
      </w:r>
      <w:r w:rsidR="443921EC">
        <w:rPr/>
        <w:t xml:space="preserve">of which </w:t>
      </w:r>
      <w:r w:rsidR="6C72D6F3">
        <w:rPr/>
        <w:t>678</w:t>
      </w:r>
      <w:r w:rsidR="7A319360">
        <w:rPr/>
        <w:t xml:space="preserve"> </w:t>
      </w:r>
      <w:r w:rsidR="443921EC">
        <w:rPr/>
        <w:t xml:space="preserve">are </w:t>
      </w:r>
      <w:r w:rsidR="00D67DDA">
        <w:rPr/>
        <w:t>concessionary members</w:t>
      </w:r>
      <w:r w:rsidR="58CE69A2">
        <w:rPr/>
        <w:t xml:space="preserve"> (compared to 6,762 recorded members in the previous year; again, we have low</w:t>
      </w:r>
      <w:r w:rsidR="19EAE7D9">
        <w:rPr/>
        <w:t>er</w:t>
      </w:r>
      <w:r w:rsidR="58CE69A2">
        <w:rPr/>
        <w:t xml:space="preserve"> confidence in the previous year’s figures)</w:t>
      </w:r>
    </w:p>
    <w:p w:rsidR="443921EC" w:rsidP="17B47119" w:rsidRDefault="443921EC" w14:paraId="4ED3C166" w14:textId="00DCFE91">
      <w:pPr>
        <w:pStyle w:val="bParagraphtext"/>
        <w:numPr>
          <w:ilvl w:val="1"/>
          <w:numId w:val="2"/>
        </w:numPr>
        <w:rPr/>
      </w:pPr>
      <w:r w:rsidR="443921EC">
        <w:rPr/>
        <w:t>2,</w:t>
      </w:r>
      <w:r w:rsidR="53FC84B1">
        <w:rPr/>
        <w:t>268</w:t>
      </w:r>
      <w:r w:rsidR="443921EC">
        <w:rPr/>
        <w:t xml:space="preserve"> </w:t>
      </w:r>
      <w:r w:rsidR="693BDF5F">
        <w:rPr/>
        <w:t>swimming lesson members</w:t>
      </w:r>
      <w:r w:rsidR="56559CAE">
        <w:rPr/>
        <w:t xml:space="preserve"> </w:t>
      </w:r>
      <w:r w:rsidR="56559CAE">
        <w:rPr/>
        <w:t>(compar</w:t>
      </w:r>
      <w:r w:rsidR="225A36E2">
        <w:rPr/>
        <w:t>ed to 1,448</w:t>
      </w:r>
      <w:r w:rsidR="56559CAE">
        <w:rPr/>
        <w:t xml:space="preserve"> </w:t>
      </w:r>
      <w:r w:rsidR="54FEAF28">
        <w:rPr/>
        <w:t>in the previous year</w:t>
      </w:r>
      <w:r w:rsidR="56559CAE">
        <w:rPr/>
        <w:t>)</w:t>
      </w:r>
    </w:p>
    <w:p w:rsidR="503A3FE3" w:rsidP="308D641F" w:rsidRDefault="503A3FE3" w14:paraId="5E8C998D" w14:textId="0405349A">
      <w:pPr>
        <w:pStyle w:val="bParagraphtext"/>
        <w:numPr>
          <w:ilvl w:val="1"/>
          <w:numId w:val="2"/>
        </w:numPr>
        <w:rPr/>
      </w:pPr>
      <w:r w:rsidR="503A3FE3">
        <w:rPr/>
        <w:t>1</w:t>
      </w:r>
      <w:r w:rsidR="6EEEF282">
        <w:rPr/>
        <w:t>62</w:t>
      </w:r>
      <w:r w:rsidR="503A3FE3">
        <w:rPr/>
        <w:t xml:space="preserve"> membership</w:t>
      </w:r>
      <w:r w:rsidR="0079052D">
        <w:rPr/>
        <w:t xml:space="preserve"> referrals</w:t>
      </w:r>
      <w:r w:rsidR="503A3FE3">
        <w:rPr/>
        <w:t xml:space="preserve"> for people </w:t>
      </w:r>
      <w:r w:rsidR="7DE2D473">
        <w:rPr/>
        <w:t xml:space="preserve">experiencing </w:t>
      </w:r>
      <w:r w:rsidR="503A3FE3">
        <w:rPr/>
        <w:t>homeless</w:t>
      </w:r>
      <w:r w:rsidR="1F3623EA">
        <w:rPr/>
        <w:t xml:space="preserve">ness and supported by </w:t>
      </w:r>
      <w:r w:rsidR="1DC01ABD">
        <w:rPr/>
        <w:t>the Council’s</w:t>
      </w:r>
      <w:r w:rsidR="1F3623EA">
        <w:rPr/>
        <w:t xml:space="preserve"> commissioned homeless pathway services</w:t>
      </w:r>
      <w:r w:rsidR="65D1E769">
        <w:rPr/>
        <w:t xml:space="preserve"> (compared to 40 in the previous year)</w:t>
      </w:r>
    </w:p>
    <w:p w:rsidR="5F771EBE" w:rsidP="6495172E" w:rsidRDefault="5F771EBE" w14:paraId="087991E8" w14:textId="7B6C4B6F">
      <w:pPr>
        <w:pStyle w:val="bParagraphtext"/>
        <w:numPr>
          <w:ilvl w:val="1"/>
          <w:numId w:val="2"/>
        </w:numPr>
        <w:rPr/>
      </w:pPr>
      <w:r w:rsidR="5F771EBE">
        <w:rPr/>
        <w:t xml:space="preserve">A Net Promoter Score of </w:t>
      </w:r>
      <w:r w:rsidR="48700563">
        <w:rPr/>
        <w:t>-</w:t>
      </w:r>
      <w:r w:rsidR="5F771EBE">
        <w:rPr/>
        <w:t>5 (</w:t>
      </w:r>
      <w:r w:rsidR="41C9F603">
        <w:rPr/>
        <w:t xml:space="preserve">as of March 2025, </w:t>
      </w:r>
      <w:r w:rsidR="5F771EBE">
        <w:rPr/>
        <w:t>compared to</w:t>
      </w:r>
      <w:r w:rsidR="74BEF730">
        <w:rPr/>
        <w:t xml:space="preserve"> -44, </w:t>
      </w:r>
      <w:r w:rsidR="0CF585D3">
        <w:rPr/>
        <w:t xml:space="preserve">how the </w:t>
      </w:r>
      <w:r w:rsidR="0CF585D3">
        <w:rPr/>
        <w:t>previous</w:t>
      </w:r>
      <w:r w:rsidR="0CF585D3">
        <w:rPr/>
        <w:t xml:space="preserve"> operator ended</w:t>
      </w:r>
      <w:r w:rsidR="2843FA61">
        <w:rPr/>
        <w:t>)</w:t>
      </w:r>
      <w:r w:rsidR="6A067894">
        <w:rPr/>
        <w:t xml:space="preserve">; </w:t>
      </w:r>
      <w:r w:rsidR="7EE35F68">
        <w:rPr/>
        <w:t xml:space="preserve">areas </w:t>
      </w:r>
      <w:r w:rsidR="7EE35F68">
        <w:rPr/>
        <w:t>identified</w:t>
      </w:r>
      <w:r w:rsidR="7EE35F68">
        <w:rPr/>
        <w:t xml:space="preserve"> for improvement include changing rooms and facility cleanliness, which </w:t>
      </w:r>
      <w:r w:rsidR="262BAA2F">
        <w:rPr/>
        <w:t>is</w:t>
      </w:r>
      <w:r w:rsidR="6A067894">
        <w:rPr/>
        <w:t xml:space="preserve"> expect</w:t>
      </w:r>
      <w:r w:rsidR="55D5569F">
        <w:rPr/>
        <w:t>ed</w:t>
      </w:r>
      <w:r w:rsidR="6A067894">
        <w:rPr/>
        <w:t xml:space="preserve"> </w:t>
      </w:r>
      <w:r w:rsidR="2A81F3C7">
        <w:rPr/>
        <w:t>to</w:t>
      </w:r>
      <w:r w:rsidR="1DD871B4">
        <w:rPr/>
        <w:t xml:space="preserve"> change later in the year following planned </w:t>
      </w:r>
      <w:r w:rsidR="6A067894">
        <w:rPr/>
        <w:t>investments</w:t>
      </w:r>
    </w:p>
    <w:p w:rsidR="4C65C880" w:rsidP="31F9E402" w:rsidRDefault="4C65C880" w14:paraId="089CA0E9" w14:textId="0325525F">
      <w:pPr>
        <w:pStyle w:val="bParagraphtext"/>
        <w:numPr>
          <w:ilvl w:val="0"/>
          <w:numId w:val="2"/>
        </w:numPr>
        <w:rPr/>
      </w:pPr>
      <w:r w:rsidR="4C65C880">
        <w:rPr/>
        <w:t>£</w:t>
      </w:r>
      <w:r w:rsidR="12398295">
        <w:rPr/>
        <w:t>32</w:t>
      </w:r>
      <w:r w:rsidR="4C65C880">
        <w:rPr/>
        <w:t>,000</w:t>
      </w:r>
      <w:r w:rsidR="4C65C880">
        <w:rPr/>
        <w:t xml:space="preserve"> </w:t>
      </w:r>
      <w:r w:rsidR="4C65C880">
        <w:rPr/>
        <w:t xml:space="preserve">of in-kind funding </w:t>
      </w:r>
      <w:r w:rsidR="18FDD1DA">
        <w:rPr/>
        <w:t xml:space="preserve">has been generated and has supported </w:t>
      </w:r>
      <w:r w:rsidR="18FDD1DA">
        <w:rPr/>
        <w:t>a number of</w:t>
      </w:r>
      <w:r w:rsidR="4C65C880">
        <w:rPr/>
        <w:t xml:space="preserve"> activities such as</w:t>
      </w:r>
      <w:r w:rsidR="0CD5336C">
        <w:rPr/>
        <w:t>:</w:t>
      </w:r>
    </w:p>
    <w:p w:rsidR="0CD5336C" w:rsidP="31F9E402" w:rsidRDefault="0CD5336C" w14:paraId="1D8DE7CA" w14:textId="15268493">
      <w:pPr>
        <w:pStyle w:val="bParagraphtext"/>
        <w:numPr>
          <w:ilvl w:val="1"/>
          <w:numId w:val="2"/>
        </w:numPr>
      </w:pPr>
      <w:r>
        <w:t>F</w:t>
      </w:r>
      <w:r w:rsidR="4C65C880">
        <w:t>ree swims with O</w:t>
      </w:r>
      <w:r w:rsidR="71D1F4D8">
        <w:t xml:space="preserve">xford </w:t>
      </w:r>
      <w:r w:rsidR="4C65C880">
        <w:t>C</w:t>
      </w:r>
      <w:r w:rsidR="239B05C9">
        <w:t xml:space="preserve">ommunity </w:t>
      </w:r>
      <w:r w:rsidR="4C65C880">
        <w:t>A</w:t>
      </w:r>
      <w:r w:rsidR="35E9D60A">
        <w:t>ction</w:t>
      </w:r>
      <w:r w:rsidR="4C65C880">
        <w:t xml:space="preserve">’s half term </w:t>
      </w:r>
      <w:r w:rsidR="00150E61">
        <w:t xml:space="preserve">activity </w:t>
      </w:r>
      <w:r w:rsidR="4C65C880">
        <w:t>groups</w:t>
      </w:r>
    </w:p>
    <w:p w:rsidR="4C65C880" w:rsidP="31F9E402" w:rsidRDefault="4C65C880" w14:paraId="61FABF5A" w14:textId="4BE57C9D">
      <w:pPr>
        <w:pStyle w:val="bParagraphtext"/>
        <w:numPr>
          <w:ilvl w:val="1"/>
          <w:numId w:val="2"/>
        </w:numPr>
      </w:pPr>
      <w:r>
        <w:t>Goals Beyond Grass (wheelchair football) sports hall</w:t>
      </w:r>
      <w:r w:rsidR="5C2096C9">
        <w:t xml:space="preserve"> hire</w:t>
      </w:r>
    </w:p>
    <w:p w:rsidR="5C2096C9" w:rsidP="31F9E402" w:rsidRDefault="5C2096C9" w14:paraId="28363705" w14:textId="465366F9">
      <w:pPr>
        <w:pStyle w:val="bParagraphtext"/>
        <w:numPr>
          <w:ilvl w:val="1"/>
          <w:numId w:val="2"/>
        </w:numPr>
      </w:pPr>
      <w:r>
        <w:t>Youth Ambition ice skating</w:t>
      </w:r>
    </w:p>
    <w:p w:rsidR="5C2096C9" w:rsidP="31F9E402" w:rsidRDefault="5C2096C9" w14:paraId="6FE42889" w14:textId="70A93418">
      <w:pPr>
        <w:pStyle w:val="bParagraphtext"/>
        <w:numPr>
          <w:ilvl w:val="1"/>
          <w:numId w:val="2"/>
        </w:numPr>
      </w:pPr>
      <w:r>
        <w:t>Oxford Pride inclusive swimming sessions</w:t>
      </w:r>
    </w:p>
    <w:p w:rsidR="02022B4B" w:rsidP="31F9E402" w:rsidRDefault="442131AB" w14:paraId="40B01D13" w14:textId="0E7C671D">
      <w:pPr>
        <w:pStyle w:val="bParagraphtext"/>
        <w:numPr>
          <w:ilvl w:val="1"/>
          <w:numId w:val="2"/>
        </w:numPr>
        <w:rPr/>
      </w:pPr>
      <w:r w:rsidR="442131AB">
        <w:rPr/>
        <w:t>12 week</w:t>
      </w:r>
      <w:r w:rsidR="442131AB">
        <w:rPr/>
        <w:t xml:space="preserve"> joint pain programme at Leys</w:t>
      </w:r>
      <w:r w:rsidR="442131AB">
        <w:rPr/>
        <w:t xml:space="preserve"> </w:t>
      </w:r>
      <w:r w:rsidR="441CED70">
        <w:rPr/>
        <w:t>Pool and Leisure Cent</w:t>
      </w:r>
      <w:r w:rsidR="441CED70">
        <w:rPr/>
        <w:t xml:space="preserve">re </w:t>
      </w:r>
      <w:r w:rsidR="442131AB">
        <w:rPr/>
        <w:t>(</w:t>
      </w:r>
      <w:r w:rsidR="05954F44">
        <w:rPr/>
        <w:t xml:space="preserve">led by </w:t>
      </w:r>
      <w:r w:rsidR="5DE8FD21">
        <w:rPr/>
        <w:t>South East</w:t>
      </w:r>
      <w:r w:rsidR="5DE8FD21">
        <w:rPr/>
        <w:t xml:space="preserve"> Oxford Health Alliance PCN</w:t>
      </w:r>
      <w:r w:rsidR="6E1CF792">
        <w:rPr/>
        <w:t>, a working group of GP practices</w:t>
      </w:r>
      <w:r w:rsidR="442131AB">
        <w:rPr/>
        <w:t>)</w:t>
      </w:r>
    </w:p>
    <w:p w:rsidR="02022B4B" w:rsidP="31F9E402" w:rsidRDefault="02022B4B" w14:paraId="6FF22804" w14:textId="6107563B">
      <w:pPr>
        <w:pStyle w:val="bParagraphtext"/>
        <w:numPr>
          <w:ilvl w:val="1"/>
          <w:numId w:val="2"/>
        </w:numPr>
        <w:rPr/>
      </w:pPr>
      <w:r w:rsidR="02022B4B">
        <w:rPr/>
        <w:t>Memberships and activit</w:t>
      </w:r>
      <w:r w:rsidR="06DAB40F">
        <w:rPr/>
        <w:t>y sessions</w:t>
      </w:r>
      <w:r w:rsidR="02022B4B">
        <w:rPr/>
        <w:t xml:space="preserve"> for sanctuary seekers</w:t>
      </w:r>
    </w:p>
    <w:p w:rsidR="02022B4B" w:rsidP="31F9E402" w:rsidRDefault="02022B4B" w14:paraId="5F77524B" w14:textId="6E5F4B34">
      <w:pPr>
        <w:pStyle w:val="bParagraphtext"/>
        <w:numPr>
          <w:ilvl w:val="0"/>
          <w:numId w:val="2"/>
        </w:numPr>
        <w:rPr/>
      </w:pPr>
      <w:r w:rsidR="7B90F474">
        <w:rPr/>
        <w:t xml:space="preserve">The </w:t>
      </w:r>
      <w:r w:rsidR="61709707">
        <w:rPr/>
        <w:t xml:space="preserve">Council’s </w:t>
      </w:r>
      <w:r w:rsidR="7B90F474">
        <w:rPr/>
        <w:t>leisure centres are undergoing significant transformation</w:t>
      </w:r>
      <w:r w:rsidR="1B3BEBA9">
        <w:rPr/>
        <w:t xml:space="preserve"> and have improved immensely over the </w:t>
      </w:r>
      <w:r w:rsidR="1B3BEBA9">
        <w:rPr/>
        <w:t>last year</w:t>
      </w:r>
      <w:r w:rsidR="7B90F474">
        <w:rPr/>
        <w:t xml:space="preserve">. </w:t>
      </w:r>
      <w:r w:rsidR="02022B4B">
        <w:rPr/>
        <w:t>Key investments</w:t>
      </w:r>
      <w:r w:rsidR="284ADAB0">
        <w:rPr/>
        <w:t xml:space="preserve"> and</w:t>
      </w:r>
      <w:r w:rsidR="02022B4B">
        <w:rPr/>
        <w:t xml:space="preserve"> achieve</w:t>
      </w:r>
      <w:r w:rsidR="33C6E533">
        <w:rPr/>
        <w:t>ments</w:t>
      </w:r>
      <w:r w:rsidR="02022B4B">
        <w:rPr/>
        <w:t xml:space="preserve"> </w:t>
      </w:r>
      <w:r w:rsidR="02022B4B">
        <w:rPr/>
        <w:t>so far inclu</w:t>
      </w:r>
      <w:r w:rsidR="02022B4B">
        <w:rPr/>
        <w:t>de:</w:t>
      </w:r>
    </w:p>
    <w:p w:rsidR="1205D04E" w:rsidP="45C958A3" w:rsidRDefault="1205D04E" w14:paraId="6F6C7A41" w14:textId="3C132C7C">
      <w:pPr>
        <w:pStyle w:val="bParagraphtext"/>
        <w:numPr>
          <w:ilvl w:val="1"/>
          <w:numId w:val="2"/>
        </w:numPr>
        <w:rPr/>
      </w:pPr>
      <w:r w:rsidR="1205D04E">
        <w:rPr/>
        <w:t xml:space="preserve">Appointment of an Active Communities </w:t>
      </w:r>
      <w:r w:rsidR="1205D04E">
        <w:rPr/>
        <w:t>Manager</w:t>
      </w:r>
      <w:r w:rsidR="5828EC4B">
        <w:rPr/>
        <w:t xml:space="preserve"> </w:t>
      </w:r>
      <w:r w:rsidR="1205D04E">
        <w:rPr/>
        <w:t>(</w:t>
      </w:r>
      <w:r w:rsidR="1205D04E">
        <w:rPr/>
        <w:t>sport/community development role) who will work with communities to improve accessibility of</w:t>
      </w:r>
      <w:r w:rsidR="329EBB87">
        <w:rPr/>
        <w:t xml:space="preserve"> the leisure</w:t>
      </w:r>
      <w:r w:rsidR="1205D04E">
        <w:rPr/>
        <w:t xml:space="preserve"> centres and develop new programmes to reach a wider audience, including working with the new </w:t>
      </w:r>
      <w:r w:rsidR="1205D04E">
        <w:rPr/>
        <w:t>Leys Youth Hub</w:t>
      </w:r>
    </w:p>
    <w:p w:rsidR="6A8E68E0" w:rsidP="45003A96" w:rsidRDefault="6A8E68E0" w14:paraId="22418561" w14:textId="1D2155CC">
      <w:pPr>
        <w:pStyle w:val="bParagraphtext"/>
        <w:numPr>
          <w:ilvl w:val="1"/>
          <w:numId w:val="2"/>
        </w:numPr>
        <w:rPr/>
      </w:pPr>
      <w:r w:rsidR="6A8E68E0">
        <w:rPr/>
        <w:t>The new Leys Youth Hub which is opening in Summer 2025 will provide positive activities to young people including a climbing wall, music and IC</w:t>
      </w:r>
      <w:r w:rsidR="0B263A73">
        <w:rPr/>
        <w:t xml:space="preserve">T, </w:t>
      </w:r>
      <w:r w:rsidR="6A8E68E0">
        <w:rPr/>
        <w:t>kitchen, group a</w:t>
      </w:r>
      <w:r w:rsidR="57BA2888">
        <w:rPr/>
        <w:t>ctivity areas and quiet</w:t>
      </w:r>
      <w:r w:rsidR="33554E18">
        <w:rPr/>
        <w:t xml:space="preserve"> space.</w:t>
      </w:r>
    </w:p>
    <w:p w:rsidR="0D35B890" w:rsidP="31F9E402" w:rsidRDefault="0D35B890" w14:paraId="6B0DE520" w14:textId="41619237">
      <w:pPr>
        <w:pStyle w:val="bParagraphtext"/>
        <w:numPr>
          <w:ilvl w:val="1"/>
          <w:numId w:val="2"/>
        </w:numPr>
        <w:rPr/>
      </w:pPr>
      <w:r w:rsidR="1205D04E">
        <w:rPr/>
        <w:t xml:space="preserve">Continuation of </w:t>
      </w:r>
      <w:r w:rsidR="0FF749F3">
        <w:rPr/>
        <w:t>the Council’s</w:t>
      </w:r>
      <w:r w:rsidR="1205D04E">
        <w:rPr/>
        <w:t xml:space="preserve"> under 17s free swimming programme, which currently offers 37 h</w:t>
      </w:r>
      <w:r w:rsidR="1205D04E">
        <w:rPr/>
        <w:t>our</w:t>
      </w:r>
      <w:r w:rsidR="1205D04E">
        <w:rPr/>
        <w:t xml:space="preserve">s of free swim sessions across </w:t>
      </w:r>
      <w:r w:rsidR="63C5C6BE">
        <w:rPr/>
        <w:t>its</w:t>
      </w:r>
      <w:r w:rsidR="1205D04E">
        <w:rPr/>
        <w:t xml:space="preserve"> pools, at no cost to the Council</w:t>
      </w:r>
    </w:p>
    <w:p w:rsidR="0D35B890" w:rsidP="31F9E402" w:rsidRDefault="0D35B890" w14:paraId="51F4E662" w14:textId="64BAE141">
      <w:pPr>
        <w:pStyle w:val="bParagraphtext"/>
        <w:numPr>
          <w:ilvl w:val="1"/>
          <w:numId w:val="2"/>
        </w:numPr>
        <w:rPr/>
      </w:pPr>
      <w:r w:rsidR="1D534DD0">
        <w:rPr/>
        <w:t xml:space="preserve">Continuation of </w:t>
      </w:r>
      <w:r w:rsidR="498D7A45">
        <w:rPr/>
        <w:t>the Council’s</w:t>
      </w:r>
      <w:r w:rsidR="1D534DD0">
        <w:rPr/>
        <w:t xml:space="preserve"> excellent concessionary scheme, which offers low cost pay as you go and monthly membership to residents on low incomes</w:t>
      </w:r>
    </w:p>
    <w:p w:rsidR="0D35B890" w:rsidP="31F9E402" w:rsidRDefault="0D35B890" w14:paraId="4C6BFF00" w14:textId="178AF62F">
      <w:pPr>
        <w:pStyle w:val="bParagraphtext"/>
        <w:numPr>
          <w:ilvl w:val="1"/>
          <w:numId w:val="2"/>
        </w:numPr>
        <w:rPr/>
      </w:pPr>
      <w:r w:rsidR="1205D04E">
        <w:rPr/>
        <w:t xml:space="preserve">New </w:t>
      </w:r>
      <w:r w:rsidR="1205D04E">
        <w:rPr/>
        <w:t>state-of-the-art</w:t>
      </w:r>
      <w:r w:rsidR="1205D04E">
        <w:rPr/>
        <w:t xml:space="preserve"> gyms at </w:t>
      </w:r>
      <w:r w:rsidR="1205D04E">
        <w:rPr/>
        <w:t xml:space="preserve">all </w:t>
      </w:r>
      <w:r w:rsidR="7AEAE77C">
        <w:rPr/>
        <w:t>of</w:t>
      </w:r>
      <w:r w:rsidR="7AEAE77C">
        <w:rPr/>
        <w:t xml:space="preserve"> </w:t>
      </w:r>
      <w:r w:rsidR="655CDB54">
        <w:rPr/>
        <w:t>the</w:t>
      </w:r>
      <w:r w:rsidR="7AEAE77C">
        <w:rPr/>
        <w:t xml:space="preserve"> Council’s </w:t>
      </w:r>
      <w:r w:rsidR="1205D04E">
        <w:rPr/>
        <w:t xml:space="preserve">leisure centres, including E-GYM equipment at Ferry </w:t>
      </w:r>
      <w:r w:rsidR="7A7C27D5">
        <w:rPr/>
        <w:t>Leisure</w:t>
      </w:r>
      <w:r w:rsidR="7A7C27D5">
        <w:rPr/>
        <w:t xml:space="preserve"> Centre</w:t>
      </w:r>
      <w:r w:rsidR="30B61F45">
        <w:rPr/>
        <w:t xml:space="preserve"> </w:t>
      </w:r>
      <w:r w:rsidR="1205D04E">
        <w:rPr/>
        <w:t>and Leys</w:t>
      </w:r>
      <w:r w:rsidR="3538471C">
        <w:rPr/>
        <w:t xml:space="preserve"> Pool and Leisure Centre</w:t>
      </w:r>
      <w:r w:rsidR="1205D04E">
        <w:rPr/>
        <w:t>, and Genius AI (which creates personalised training plans for members – the first UK leisure centre to get this technology)</w:t>
      </w:r>
    </w:p>
    <w:p w:rsidR="0D35B890" w:rsidP="31F9E402" w:rsidRDefault="0D35B890" w14:paraId="79B547EC" w14:textId="49949F23">
      <w:pPr>
        <w:pStyle w:val="bParagraphtext"/>
        <w:numPr>
          <w:ilvl w:val="1"/>
          <w:numId w:val="2"/>
        </w:numPr>
        <w:rPr/>
      </w:pPr>
      <w:r w:rsidR="0D35B890">
        <w:rPr/>
        <w:t xml:space="preserve">Extended opening hours </w:t>
      </w:r>
      <w:r w:rsidR="4ED10275">
        <w:rPr/>
        <w:t xml:space="preserve">and programming </w:t>
      </w:r>
      <w:r w:rsidR="0D35B890">
        <w:rPr/>
        <w:t>at all leisure centres</w:t>
      </w:r>
      <w:r w:rsidR="3BA6C544">
        <w:rPr/>
        <w:t xml:space="preserve"> (various times)</w:t>
      </w:r>
      <w:r w:rsidR="074C4931">
        <w:rPr/>
        <w:t xml:space="preserve"> to improve the customer offer</w:t>
      </w:r>
    </w:p>
    <w:p w:rsidR="0D35B890" w:rsidP="31F9E402" w:rsidRDefault="0D35B890" w14:paraId="51A34626" w14:textId="560886D5">
      <w:pPr>
        <w:pStyle w:val="bParagraphtext"/>
        <w:numPr>
          <w:ilvl w:val="1"/>
          <w:numId w:val="2"/>
        </w:numPr>
        <w:rPr/>
      </w:pPr>
      <w:r w:rsidR="0D35B890">
        <w:rPr/>
        <w:t>Refurb</w:t>
      </w:r>
      <w:r w:rsidR="620480BD">
        <w:rPr/>
        <w:t>ishment</w:t>
      </w:r>
      <w:r w:rsidR="0D35B890">
        <w:rPr/>
        <w:t xml:space="preserve"> of two squash courts at Ferry </w:t>
      </w:r>
      <w:r w:rsidR="387FA58A">
        <w:rPr/>
        <w:t xml:space="preserve">Leisure Centre </w:t>
      </w:r>
      <w:r w:rsidR="0D35B890">
        <w:rPr/>
        <w:t>and conversion of unused court into spin studio</w:t>
      </w:r>
    </w:p>
    <w:p w:rsidR="0D35B890" w:rsidP="31F9E402" w:rsidRDefault="71126BEF" w14:paraId="5CE3F6A3" w14:textId="467CA158">
      <w:pPr>
        <w:pStyle w:val="bParagraphtext"/>
        <w:numPr>
          <w:ilvl w:val="1"/>
          <w:numId w:val="2"/>
        </w:numPr>
        <w:rPr/>
      </w:pPr>
      <w:bookmarkStart w:name="_Int_zCVCtAsu" w:id="639765572"/>
      <w:r w:rsidR="71126BEF">
        <w:rPr/>
        <w:t>Leys</w:t>
      </w:r>
      <w:bookmarkEnd w:id="639765572"/>
      <w:r w:rsidR="71126BEF">
        <w:rPr/>
        <w:t xml:space="preserve"> </w:t>
      </w:r>
      <w:r w:rsidR="111CD54F">
        <w:rPr/>
        <w:t xml:space="preserve">Pool and Leisure Centre </w:t>
      </w:r>
      <w:r w:rsidR="71126BEF">
        <w:rPr/>
        <w:t>sports hall conversion</w:t>
      </w:r>
      <w:r w:rsidR="17196061">
        <w:rPr/>
        <w:t xml:space="preserve"> of 4 courts</w:t>
      </w:r>
      <w:r w:rsidR="71126BEF">
        <w:rPr/>
        <w:t xml:space="preserve">, creating a new climbing area, </w:t>
      </w:r>
      <w:r w:rsidR="09FB7877">
        <w:rPr/>
        <w:t xml:space="preserve">bespoke </w:t>
      </w:r>
      <w:r w:rsidR="71126BEF">
        <w:rPr/>
        <w:t xml:space="preserve">soft </w:t>
      </w:r>
      <w:r w:rsidR="71126BEF">
        <w:rPr/>
        <w:t>play</w:t>
      </w:r>
      <w:r w:rsidR="71126BEF">
        <w:rPr/>
        <w:t xml:space="preserve"> </w:t>
      </w:r>
      <w:r w:rsidR="5E56791E">
        <w:rPr/>
        <w:t xml:space="preserve">(which includes Oxford landmarks such as the Radcliffe Camera, Bridge of Sighs and Covered Market) </w:t>
      </w:r>
      <w:r w:rsidR="71126BEF">
        <w:rPr/>
        <w:t xml:space="preserve">and </w:t>
      </w:r>
      <w:r w:rsidR="083D671B">
        <w:rPr/>
        <w:t xml:space="preserve">ninja </w:t>
      </w:r>
      <w:r w:rsidR="71126BEF">
        <w:rPr/>
        <w:t xml:space="preserve">tag arena; </w:t>
      </w:r>
      <w:r w:rsidR="7D16572E">
        <w:rPr/>
        <w:t xml:space="preserve">painting </w:t>
      </w:r>
      <w:r w:rsidR="71126BEF">
        <w:rPr/>
        <w:t>other</w:t>
      </w:r>
      <w:r w:rsidR="71126BEF">
        <w:rPr/>
        <w:t xml:space="preserve"> half of hall</w:t>
      </w:r>
      <w:r w:rsidR="3AF984BB">
        <w:rPr/>
        <w:t xml:space="preserve"> and plan to refresh the flooring</w:t>
      </w:r>
    </w:p>
    <w:p w:rsidR="656F4F06" w:rsidP="17B47119" w:rsidRDefault="656F4F06" w14:paraId="18DDF534" w14:textId="462A5555">
      <w:pPr>
        <w:pStyle w:val="bParagraphtext"/>
        <w:numPr>
          <w:ilvl w:val="1"/>
          <w:numId w:val="2"/>
        </w:numPr>
        <w:rPr/>
      </w:pPr>
      <w:r w:rsidR="656F4F06">
        <w:rPr/>
        <w:t>Successful mobilisation and opening of Hinksey Outdoor Pool (both years)</w:t>
      </w:r>
    </w:p>
    <w:p w:rsidR="633D7049" w:rsidP="45C958A3" w:rsidRDefault="633D7049" w14:paraId="632D83B0" w14:textId="109DAB6D">
      <w:pPr>
        <w:pStyle w:val="bParagraphtext"/>
        <w:numPr>
          <w:ilvl w:val="1"/>
          <w:numId w:val="2"/>
        </w:numPr>
        <w:rPr/>
      </w:pPr>
      <w:r w:rsidR="633D7049">
        <w:rPr/>
        <w:t xml:space="preserve">New energy and water saving showers at all leisure centres, another initiative to help reduce </w:t>
      </w:r>
      <w:r w:rsidR="1322637B">
        <w:rPr/>
        <w:t xml:space="preserve">the Council’s </w:t>
      </w:r>
      <w:r w:rsidR="633D7049">
        <w:rPr/>
        <w:t>environmental impact</w:t>
      </w:r>
    </w:p>
    <w:p w:rsidR="633D7049" w:rsidP="45C958A3" w:rsidRDefault="633D7049" w14:paraId="44FBFBE0" w14:textId="57E84DA3">
      <w:pPr>
        <w:pStyle w:val="bParagraphtext"/>
        <w:numPr>
          <w:ilvl w:val="1"/>
          <w:numId w:val="2"/>
        </w:numPr>
        <w:rPr/>
      </w:pPr>
      <w:r w:rsidR="633D7049">
        <w:rPr/>
        <w:t>New catering and café facilities, which includes bringing catering in-house and working on achieving a balanced offer of healthy options and treats</w:t>
      </w:r>
    </w:p>
    <w:p w:rsidR="633D7049" w:rsidP="45C958A3" w:rsidRDefault="633D7049" w14:paraId="093E1FB4" w14:textId="134ED158">
      <w:pPr>
        <w:pStyle w:val="bParagraphtext"/>
        <w:numPr>
          <w:ilvl w:val="1"/>
          <w:numId w:val="2"/>
        </w:numPr>
        <w:rPr/>
      </w:pPr>
      <w:r w:rsidR="633D7049">
        <w:rPr/>
        <w:t xml:space="preserve">New ice pad and low-emissivity ceiling at the Ice Rink, helping to reduce </w:t>
      </w:r>
      <w:r w:rsidR="633D7049">
        <w:rPr/>
        <w:t>carbon emissions</w:t>
      </w:r>
    </w:p>
    <w:p w:rsidR="5C256C2A" w:rsidP="45C958A3" w:rsidRDefault="5C256C2A" w14:paraId="65D1A78B" w14:textId="7AC197E3">
      <w:pPr>
        <w:pStyle w:val="bParagraphtext"/>
        <w:numPr>
          <w:ilvl w:val="1"/>
          <w:numId w:val="2"/>
        </w:numPr>
        <w:rPr/>
      </w:pPr>
      <w:r w:rsidR="5C256C2A">
        <w:rPr/>
        <w:t xml:space="preserve">Redecoration of many spaces to help bring the </w:t>
      </w:r>
      <w:r w:rsidR="506107E8">
        <w:rPr/>
        <w:t xml:space="preserve">leisure </w:t>
      </w:r>
      <w:r w:rsidR="5C256C2A">
        <w:rPr/>
        <w:t>centres back to life and improve the customer experience</w:t>
      </w:r>
    </w:p>
    <w:p w:rsidR="1C7DB420" w:rsidP="2C74AB1E" w:rsidRDefault="1C7DB420" w14:paraId="588EB59B" w14:textId="628DB9C2">
      <w:pPr>
        <w:pStyle w:val="bParagraphtext"/>
        <w:numPr>
          <w:ilvl w:val="0"/>
          <w:numId w:val="2"/>
        </w:numPr>
        <w:rPr/>
      </w:pPr>
      <w:r w:rsidR="1C7DB420">
        <w:rPr/>
        <w:t>A summary slide deck that highlights some of these key achievements and photos is available in Appendix 3.</w:t>
      </w:r>
    </w:p>
    <w:p w:rsidR="6844F18D" w:rsidP="17B47119" w:rsidRDefault="6844F18D" w14:paraId="740ADB18" w14:textId="00EFBF21">
      <w:pPr>
        <w:pStyle w:val="bParagraphtext"/>
        <w:numPr>
          <w:ilvl w:val="0"/>
          <w:numId w:val="2"/>
        </w:numPr>
        <w:rPr/>
      </w:pPr>
      <w:r w:rsidR="3294F9CB">
        <w:rPr/>
        <w:t xml:space="preserve">The Council’s </w:t>
      </w:r>
      <w:r w:rsidR="6844F18D">
        <w:rPr/>
        <w:t xml:space="preserve">relationship with More Leisure has been a positive one, with </w:t>
      </w:r>
      <w:r w:rsidR="0EAB03AD">
        <w:rPr/>
        <w:t xml:space="preserve">good </w:t>
      </w:r>
      <w:r w:rsidR="6844F18D">
        <w:rPr/>
        <w:t>communication</w:t>
      </w:r>
      <w:r w:rsidR="6844F18D">
        <w:rPr/>
        <w:t xml:space="preserve"> and support from before the contract even formally </w:t>
      </w:r>
      <w:r w:rsidR="6844F18D">
        <w:rPr/>
        <w:t>commenced</w:t>
      </w:r>
      <w:r w:rsidR="6844F18D">
        <w:rPr/>
        <w:t>.</w:t>
      </w:r>
      <w:r w:rsidR="6B157FA6">
        <w:rPr/>
        <w:t xml:space="preserve"> An example of this was Hinksey Pool opening as planned a week into the contract.</w:t>
      </w:r>
      <w:r w:rsidR="6844F18D">
        <w:rPr/>
        <w:t xml:space="preserve"> </w:t>
      </w:r>
      <w:r w:rsidR="70B20B1F">
        <w:rPr/>
        <w:t>There</w:t>
      </w:r>
      <w:r w:rsidR="70B20B1F">
        <w:rPr/>
        <w:t xml:space="preserve"> are</w:t>
      </w:r>
      <w:r w:rsidR="6844F18D">
        <w:rPr/>
        <w:t xml:space="preserve"> monthly </w:t>
      </w:r>
      <w:r w:rsidR="09E1D66C">
        <w:rPr/>
        <w:t xml:space="preserve">formal meetings to track progress and regular updates with the local team. </w:t>
      </w:r>
      <w:r w:rsidR="45411621">
        <w:rPr/>
        <w:t>The company is</w:t>
      </w:r>
      <w:r w:rsidR="09E1D66C">
        <w:rPr/>
        <w:t xml:space="preserve"> very flexible and keen to work in partne</w:t>
      </w:r>
      <w:r w:rsidR="09E1D66C">
        <w:rPr/>
        <w:t xml:space="preserve">rship with </w:t>
      </w:r>
      <w:r w:rsidR="7F604AB4">
        <w:rPr/>
        <w:t>the Council</w:t>
      </w:r>
      <w:r w:rsidR="09E1D66C">
        <w:rPr/>
        <w:t>.</w:t>
      </w:r>
    </w:p>
    <w:p w:rsidR="6B3FEB4B" w:rsidP="45C958A3" w:rsidRDefault="6B3FEB4B" w14:paraId="0125FBD4" w14:textId="7DED6CE9">
      <w:pPr>
        <w:pStyle w:val="bParagraphtext"/>
        <w:numPr>
          <w:ilvl w:val="0"/>
          <w:numId w:val="2"/>
        </w:numPr>
        <w:rPr/>
      </w:pPr>
      <w:r w:rsidR="6B3FEB4B">
        <w:rPr/>
        <w:t xml:space="preserve">For the year ahead </w:t>
      </w:r>
      <w:r w:rsidR="5AEBAC75">
        <w:rPr/>
        <w:t>the Council</w:t>
      </w:r>
      <w:r w:rsidR="6B3FEB4B">
        <w:rPr/>
        <w:t xml:space="preserve"> will look to strengthen this relationship and work to secure </w:t>
      </w:r>
      <w:r w:rsidR="3268119C">
        <w:rPr/>
        <w:t>stronger communications (both internal and external) and improved resolution times</w:t>
      </w:r>
      <w:r w:rsidR="2E180EEE">
        <w:rPr/>
        <w:t xml:space="preserve"> in relation </w:t>
      </w:r>
      <w:r w:rsidR="2E180EEE">
        <w:rPr/>
        <w:t xml:space="preserve">to </w:t>
      </w:r>
      <w:r w:rsidR="6E937087">
        <w:rPr/>
        <w:t>feedback and complaints.</w:t>
      </w:r>
    </w:p>
    <w:p w:rsidR="315CE25D" w:rsidP="31F9E402" w:rsidRDefault="315CE25D" w14:paraId="4657C3B5" w14:textId="356DF4AB">
      <w:pPr>
        <w:pStyle w:val="bParagraphtext"/>
        <w:numPr>
          <w:ilvl w:val="0"/>
          <w:numId w:val="0"/>
        </w:numPr>
        <w:rPr>
          <w:b w:val="1"/>
          <w:bCs w:val="1"/>
        </w:rPr>
      </w:pPr>
      <w:r w:rsidRPr="45C958A3" w:rsidR="315CE25D">
        <w:rPr>
          <w:b w:val="1"/>
          <w:bCs w:val="1"/>
        </w:rPr>
        <w:t>Annual Service Plan</w:t>
      </w:r>
    </w:p>
    <w:p w:rsidR="08798C3C" w:rsidP="31F9E402" w:rsidRDefault="4FDCB163" w14:paraId="00FC569F" w14:textId="13D9C39D">
      <w:pPr>
        <w:pStyle w:val="bParagraphtext"/>
        <w:numPr>
          <w:ilvl w:val="0"/>
          <w:numId w:val="2"/>
        </w:numPr>
        <w:rPr/>
      </w:pPr>
      <w:r w:rsidR="4FDCB163">
        <w:rPr/>
        <w:t xml:space="preserve">The Annual Service Plan </w:t>
      </w:r>
      <w:r w:rsidR="1CE30D9B">
        <w:rPr/>
        <w:t xml:space="preserve">(“the Plan”) </w:t>
      </w:r>
      <w:r w:rsidR="4FDCB163">
        <w:rPr/>
        <w:t>(Appendix 1) outlines the priorities and actions to enhance leisure services in Oxford</w:t>
      </w:r>
      <w:r w:rsidR="001A62A4">
        <w:rPr/>
        <w:t>, in</w:t>
      </w:r>
      <w:r w:rsidR="00164B2C">
        <w:rPr/>
        <w:t>cluding</w:t>
      </w:r>
      <w:r w:rsidR="001A62A4">
        <w:rPr/>
        <w:t xml:space="preserve"> key capital </w:t>
      </w:r>
      <w:r w:rsidR="00164B2C">
        <w:rPr/>
        <w:t>investments</w:t>
      </w:r>
      <w:r w:rsidR="4FDCB163">
        <w:rPr/>
        <w:t xml:space="preserve">. It focuses on improving health and wellbeing across target groups including children, young people, women, people with disabilities, and older adults. </w:t>
      </w:r>
    </w:p>
    <w:p w:rsidR="08798C3C" w:rsidP="31F9E402" w:rsidRDefault="4FDCB163" w14:paraId="40C0A7B2" w14:textId="57AB303F">
      <w:pPr>
        <w:pStyle w:val="bParagraphtext"/>
        <w:numPr>
          <w:ilvl w:val="0"/>
          <w:numId w:val="2"/>
        </w:numPr>
        <w:rPr/>
      </w:pPr>
      <w:r w:rsidR="4FDCB163">
        <w:rPr/>
        <w:t xml:space="preserve">The </w:t>
      </w:r>
      <w:r w:rsidR="0B2F029B">
        <w:rPr/>
        <w:t>P</w:t>
      </w:r>
      <w:r w:rsidR="4FDCB163">
        <w:rPr/>
        <w:t xml:space="preserve">lan </w:t>
      </w:r>
      <w:r w:rsidR="7DB6695D">
        <w:rPr/>
        <w:t xml:space="preserve">cross-references the </w:t>
      </w:r>
      <w:r w:rsidR="17D9F221">
        <w:rPr/>
        <w:t xml:space="preserve">Council’s </w:t>
      </w:r>
      <w:r w:rsidR="7DB6695D">
        <w:rPr/>
        <w:t xml:space="preserve">Active Communities Plan (Appendix 2) and </w:t>
      </w:r>
      <w:r w:rsidR="4FDCB163">
        <w:rPr/>
        <w:t xml:space="preserve">includes initiatives for physical activity, mental health support, community engagement, and environmental sustainability, aiming to create inclusive and accessible leisure opportunities for all </w:t>
      </w:r>
      <w:r w:rsidR="6C26ADAC">
        <w:rPr/>
        <w:t xml:space="preserve">Oxford </w:t>
      </w:r>
      <w:r w:rsidR="4FDCB163">
        <w:rPr/>
        <w:t>residents.</w:t>
      </w:r>
      <w:r w:rsidR="1AD208E4">
        <w:rPr/>
        <w:t xml:space="preserve"> </w:t>
      </w:r>
    </w:p>
    <w:p w:rsidR="08798C3C" w:rsidP="31F9E402" w:rsidRDefault="76E25C84" w14:paraId="5FDA5BF2" w14:textId="2FC95303">
      <w:pPr>
        <w:pStyle w:val="bParagraphtext"/>
        <w:numPr>
          <w:ilvl w:val="0"/>
          <w:numId w:val="2"/>
        </w:numPr>
        <w:rPr/>
      </w:pPr>
      <w:r w:rsidR="76E25C84">
        <w:rPr/>
        <w:t xml:space="preserve">The </w:t>
      </w:r>
      <w:r w:rsidR="3F2F6568">
        <w:rPr/>
        <w:t xml:space="preserve">Plan </w:t>
      </w:r>
      <w:r w:rsidR="5ECF0BFC">
        <w:rPr/>
        <w:t>aligns with</w:t>
      </w:r>
      <w:r w:rsidR="3F2F6568">
        <w:rPr/>
        <w:t xml:space="preserve"> key Council strategies such as the Thriving Communities Strategy</w:t>
      </w:r>
      <w:r w:rsidR="58140104">
        <w:rPr/>
        <w:t>, Health and Wellbeing Strategy</w:t>
      </w:r>
      <w:r w:rsidR="3F2F6568">
        <w:rPr/>
        <w:t xml:space="preserve"> and wider ones such as Oxfordshire County Council’s </w:t>
      </w:r>
      <w:r w:rsidR="61871909">
        <w:rPr/>
        <w:t>Health and Wellbeing Strategy</w:t>
      </w:r>
      <w:r w:rsidR="2C0E05A0">
        <w:rPr/>
        <w:t>, and Sport England’s Uniting the Movement</w:t>
      </w:r>
      <w:r w:rsidR="61871909">
        <w:rPr/>
        <w:t xml:space="preserve">. </w:t>
      </w:r>
      <w:r w:rsidR="1AD208E4">
        <w:rPr/>
        <w:t>Some of the key initiatives are outlined below</w:t>
      </w:r>
      <w:r w:rsidR="1A58D95B">
        <w:rPr/>
        <w:t>:</w:t>
      </w:r>
    </w:p>
    <w:p w:rsidR="00011B33" w:rsidP="45003A96" w:rsidRDefault="1AD208E4" w14:paraId="4713C85E" w14:textId="77777777">
      <w:pPr>
        <w:pStyle w:val="Normal"/>
        <w:rPr>
          <w:color w:val="000000" w:themeColor="text1" w:themeTint="FF" w:themeShade="FF"/>
          <w:sz w:val="24"/>
          <w:szCs w:val="24"/>
          <w:u w:val="single"/>
        </w:rPr>
      </w:pPr>
      <w:r w:rsidRPr="45003A96" w:rsidR="1AD208E4">
        <w:rPr>
          <w:u w:val="single"/>
        </w:rPr>
        <w:t>Children and young people</w:t>
      </w:r>
      <w:r w:rsidRPr="45003A96" w:rsidR="2A12577D">
        <w:rPr>
          <w:u w:val="single"/>
        </w:rPr>
        <w:t>:</w:t>
      </w:r>
    </w:p>
    <w:p w:rsidRPr="00011B33" w:rsidR="00011B33" w:rsidP="00011B33" w:rsidRDefault="1AD208E4" w14:paraId="528AB3BC" w14:textId="77777777">
      <w:pPr>
        <w:pStyle w:val="ListParagraph"/>
        <w:numPr>
          <w:ilvl w:val="0"/>
          <w:numId w:val="2"/>
        </w:numPr>
        <w:rPr>
          <w:u w:val="single"/>
        </w:rPr>
      </w:pPr>
      <w:r>
        <w:t>Activities for Children (0-11): HAF (Holiday Activities and Food) program</w:t>
      </w:r>
      <w:r w:rsidR="12E9C5B6">
        <w:t>me</w:t>
      </w:r>
      <w:r>
        <w:t>s, breakfast clubs, free swimming, and junior sports activities.</w:t>
      </w:r>
    </w:p>
    <w:p w:rsidRPr="00011B33" w:rsidR="1AD208E4" w:rsidP="00011B33" w:rsidRDefault="1AD208E4" w14:paraId="1D901D60" w14:textId="535A841A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Youth </w:t>
      </w:r>
      <w:r w:rsidR="58452790">
        <w:t>e</w:t>
      </w:r>
      <w:r>
        <w:t xml:space="preserve">ngagement (12-19): Friday youth night activities, free </w:t>
      </w:r>
      <w:r w:rsidR="458EC2EB">
        <w:t xml:space="preserve">U17s </w:t>
      </w:r>
      <w:r>
        <w:t>swimming, and partnerships with youth-focused groups.</w:t>
      </w:r>
    </w:p>
    <w:p w:rsidR="00636B97" w:rsidP="45003A96" w:rsidRDefault="1AD208E4" w14:paraId="51B0E68B" w14:textId="77777777">
      <w:pPr>
        <w:pStyle w:val="Normal"/>
        <w:spacing w:before="240" w:after="240"/>
        <w:rPr>
          <w:color w:val="000000" w:themeColor="text1" w:themeTint="FF" w:themeShade="FF"/>
          <w:sz w:val="24"/>
          <w:szCs w:val="24"/>
          <w:u w:val="single"/>
        </w:rPr>
      </w:pPr>
      <w:r w:rsidRPr="45003A96" w:rsidR="1AD208E4">
        <w:rPr>
          <w:u w:val="single"/>
        </w:rPr>
        <w:t xml:space="preserve">Women and </w:t>
      </w:r>
      <w:r w:rsidRPr="45003A96" w:rsidR="7372CFB8">
        <w:rPr>
          <w:u w:val="single"/>
        </w:rPr>
        <w:t>g</w:t>
      </w:r>
      <w:r w:rsidRPr="45003A96" w:rsidR="1AD208E4">
        <w:rPr>
          <w:u w:val="single"/>
        </w:rPr>
        <w:t>irls</w:t>
      </w:r>
      <w:r w:rsidRPr="45003A96" w:rsidR="69AC7D2F">
        <w:rPr>
          <w:u w:val="single"/>
        </w:rPr>
        <w:t>:</w:t>
      </w:r>
    </w:p>
    <w:p w:rsidRPr="00636B97" w:rsidR="1AD208E4" w:rsidP="00636B97" w:rsidRDefault="1AD208E4" w14:paraId="2EDD8CEA" w14:textId="50E3E40F">
      <w:pPr>
        <w:pStyle w:val="ListParagraph"/>
        <w:numPr>
          <w:ilvl w:val="0"/>
          <w:numId w:val="2"/>
        </w:numPr>
        <w:spacing w:before="240" w:after="240"/>
        <w:rPr>
          <w:u w:val="single"/>
        </w:rPr>
      </w:pPr>
      <w:r w:rsidRPr="31F9E402">
        <w:t>Female-</w:t>
      </w:r>
      <w:r w:rsidRPr="31F9E402" w:rsidR="67285D1B">
        <w:t>o</w:t>
      </w:r>
      <w:r w:rsidRPr="31F9E402">
        <w:t xml:space="preserve">nly </w:t>
      </w:r>
      <w:r w:rsidRPr="31F9E402" w:rsidR="3DE9AB62">
        <w:t>swimming s</w:t>
      </w:r>
      <w:r w:rsidRPr="31F9E402">
        <w:t>essions</w:t>
      </w:r>
      <w:r w:rsidRPr="31F9E402" w:rsidR="3C1E7ADC">
        <w:t>.</w:t>
      </w:r>
    </w:p>
    <w:p w:rsidR="1AD208E4" w:rsidP="00DD248B" w:rsidRDefault="1AD208E4" w14:paraId="7E7D1609" w14:textId="1D561489">
      <w:pPr>
        <w:pStyle w:val="ListParagraph"/>
        <w:numPr>
          <w:ilvl w:val="0"/>
          <w:numId w:val="2"/>
        </w:numPr>
        <w:spacing w:after="0"/>
      </w:pPr>
      <w:r w:rsidRPr="31F9E402">
        <w:t xml:space="preserve">Promotional </w:t>
      </w:r>
      <w:r w:rsidRPr="31F9E402" w:rsidR="2458FCC0">
        <w:t>a</w:t>
      </w:r>
      <w:r w:rsidRPr="31F9E402">
        <w:t xml:space="preserve">ctivities: </w:t>
      </w:r>
      <w:r w:rsidRPr="31F9E402" w:rsidR="336048BF">
        <w:t>i</w:t>
      </w:r>
      <w:r w:rsidRPr="31F9E402">
        <w:t>nitiatives like "Let's Lift the Curfew" and "This Girl Can," along with menopause awareness training.</w:t>
      </w:r>
    </w:p>
    <w:p w:rsidR="008A7F93" w:rsidP="45003A96" w:rsidRDefault="1AD208E4" w14:paraId="048EA39D" w14:textId="77777777">
      <w:pPr>
        <w:pStyle w:val="Normal"/>
        <w:spacing w:before="240" w:after="240"/>
        <w:rPr>
          <w:color w:val="000000" w:themeColor="text1" w:themeTint="FF" w:themeShade="FF"/>
          <w:sz w:val="24"/>
          <w:szCs w:val="24"/>
          <w:u w:val="single"/>
        </w:rPr>
      </w:pPr>
      <w:r w:rsidRPr="45003A96" w:rsidR="1AD208E4">
        <w:rPr>
          <w:u w:val="single"/>
        </w:rPr>
        <w:t xml:space="preserve">People with </w:t>
      </w:r>
      <w:r w:rsidRPr="45003A96" w:rsidR="510A0382">
        <w:rPr>
          <w:u w:val="single"/>
        </w:rPr>
        <w:t>d</w:t>
      </w:r>
      <w:r w:rsidRPr="45003A96" w:rsidR="1AD208E4">
        <w:rPr>
          <w:u w:val="single"/>
        </w:rPr>
        <w:t>isabilities:</w:t>
      </w:r>
    </w:p>
    <w:p w:rsidR="1AD208E4" w:rsidP="45003A96" w:rsidRDefault="1AD208E4" w14:paraId="31D9160B" w14:textId="10DE1A44">
      <w:pPr>
        <w:pStyle w:val="ListParagraph"/>
        <w:spacing w:before="240" w:after="240"/>
        <w:rPr/>
      </w:pPr>
      <w:r w:rsidR="1AD208E4">
        <w:rPr/>
        <w:t xml:space="preserve">Inclusive </w:t>
      </w:r>
      <w:r w:rsidR="55EC8437">
        <w:rPr/>
        <w:t>a</w:t>
      </w:r>
      <w:r w:rsidR="1AD208E4">
        <w:rPr/>
        <w:t xml:space="preserve">ctivities: </w:t>
      </w:r>
      <w:r w:rsidR="0FE21D67">
        <w:rPr/>
        <w:t>d</w:t>
      </w:r>
      <w:r w:rsidR="1AD208E4">
        <w:rPr/>
        <w:t>isability swimming lessons, multi-sports sessions, quiet hours, and SEN (Special Educational Needs) swimming.</w:t>
      </w:r>
    </w:p>
    <w:p w:rsidR="1AD208E4" w:rsidP="45003A96" w:rsidRDefault="1AD208E4" w14:paraId="0707A3DA" w14:textId="00DC5BAF">
      <w:pPr>
        <w:pStyle w:val="ListParagraph"/>
        <w:spacing w:before="240" w:after="240"/>
        <w:rPr>
          <w:u w:val="single"/>
        </w:rPr>
      </w:pPr>
      <w:r w:rsidR="1AD208E4">
        <w:rPr/>
        <w:t xml:space="preserve">Specific condition sessions: </w:t>
      </w:r>
      <w:r w:rsidR="2BA694D4">
        <w:rPr/>
        <w:t>a</w:t>
      </w:r>
      <w:r w:rsidR="1AD208E4">
        <w:rPr/>
        <w:t xml:space="preserve">ctivities for </w:t>
      </w:r>
      <w:r w:rsidR="415172E5">
        <w:rPr/>
        <w:t xml:space="preserve">individuals with </w:t>
      </w:r>
      <w:r w:rsidR="1AD208E4">
        <w:rPr/>
        <w:t>conditions such as Parkinson's, dementia, and other disabilities.</w:t>
      </w:r>
    </w:p>
    <w:p w:rsidRPr="00DD248B" w:rsidR="1AD208E4" w:rsidP="45003A96" w:rsidRDefault="1AD208E4" w14:paraId="3C642263" w14:textId="35EE66FD">
      <w:pPr>
        <w:pStyle w:val="Normal"/>
        <w:spacing w:before="240" w:after="240"/>
        <w:rPr>
          <w:color w:val="000000" w:themeColor="text1" w:themeTint="FF" w:themeShade="FF"/>
          <w:sz w:val="24"/>
          <w:szCs w:val="24"/>
          <w:u w:val="single"/>
        </w:rPr>
      </w:pPr>
      <w:r w:rsidRPr="45003A96" w:rsidR="1AD208E4">
        <w:rPr>
          <w:u w:val="single"/>
        </w:rPr>
        <w:t>Older adults and long-term conditions:</w:t>
      </w:r>
    </w:p>
    <w:p w:rsidR="1AD208E4" w:rsidP="45003A96" w:rsidRDefault="1AD208E4" w14:paraId="6891DE9C" w14:textId="78678289">
      <w:pPr>
        <w:pStyle w:val="ListParagraph"/>
        <w:spacing w:after="0"/>
        <w:rPr>
          <w:color w:val="000000" w:themeColor="text1" w:themeTint="FF" w:themeShade="FF"/>
          <w:sz w:val="24"/>
          <w:szCs w:val="24"/>
        </w:rPr>
      </w:pPr>
      <w:r w:rsidR="1AD208E4">
        <w:rPr/>
        <w:t xml:space="preserve">Referral </w:t>
      </w:r>
      <w:r w:rsidR="4FBDCE0E">
        <w:rPr/>
        <w:t>s</w:t>
      </w:r>
      <w:r w:rsidR="1AD208E4">
        <w:rPr/>
        <w:t xml:space="preserve">chemes: </w:t>
      </w:r>
      <w:r w:rsidR="3D4D5B77">
        <w:rPr/>
        <w:t>c</w:t>
      </w:r>
      <w:r w:rsidR="1AD208E4">
        <w:rPr/>
        <w:t>ollaborations with healthcare providers for GP referrals, smoking cessation, falls prevention, COVID recovery, cancer recovery, and cardiac rehab</w:t>
      </w:r>
      <w:r w:rsidR="4380E5DC">
        <w:rPr/>
        <w:t>ilitation</w:t>
      </w:r>
      <w:r w:rsidR="1AD208E4">
        <w:rPr/>
        <w:t>.</w:t>
      </w:r>
    </w:p>
    <w:p w:rsidR="1BBF0E21" w:rsidP="45003A96" w:rsidRDefault="1BBF0E21" w14:paraId="48AEDF2B" w14:textId="5843A63E">
      <w:pPr>
        <w:pStyle w:val="Normal"/>
        <w:spacing w:after="0"/>
        <w:rPr>
          <w:color w:val="000000" w:themeColor="text1" w:themeTint="FF" w:themeShade="FF"/>
          <w:sz w:val="24"/>
          <w:szCs w:val="24"/>
        </w:rPr>
      </w:pPr>
    </w:p>
    <w:p w:rsidR="1AD208E4" w:rsidP="00DD248B" w:rsidRDefault="1AD208E4" w14:paraId="42CD32DC" w14:textId="1A11E74E">
      <w:pPr>
        <w:pStyle w:val="ListParagraph"/>
        <w:numPr>
          <w:ilvl w:val="0"/>
          <w:numId w:val="2"/>
        </w:numPr>
        <w:spacing w:after="0"/>
      </w:pPr>
      <w:r w:rsidRPr="31F9E402">
        <w:lastRenderedPageBreak/>
        <w:t xml:space="preserve">Dedicated </w:t>
      </w:r>
      <w:r w:rsidRPr="31F9E402" w:rsidR="30C8D452">
        <w:t>a</w:t>
      </w:r>
      <w:r w:rsidRPr="31F9E402">
        <w:t xml:space="preserve">ctivities: </w:t>
      </w:r>
      <w:r w:rsidRPr="31F9E402" w:rsidR="3A92E28C">
        <w:t>p</w:t>
      </w:r>
      <w:r w:rsidRPr="31F9E402">
        <w:t>rogram</w:t>
      </w:r>
      <w:r w:rsidRPr="31F9E402" w:rsidR="1DC7EAF4">
        <w:t>me</w:t>
      </w:r>
      <w:r w:rsidRPr="31F9E402">
        <w:t xml:space="preserve">s like E-Gym, 50+ badminton, </w:t>
      </w:r>
      <w:r w:rsidRPr="31F9E402" w:rsidR="2E308086">
        <w:t xml:space="preserve">Move Together </w:t>
      </w:r>
      <w:r w:rsidRPr="31F9E402">
        <w:t>and the Good Boost initiative in Barton.</w:t>
      </w:r>
    </w:p>
    <w:p w:rsidR="008A7F93" w:rsidP="45003A96" w:rsidRDefault="1AD208E4" w14:paraId="161C90C1" w14:textId="77777777">
      <w:pPr>
        <w:pStyle w:val="Normal"/>
        <w:spacing w:before="240" w:after="240"/>
        <w:rPr>
          <w:color w:val="000000" w:themeColor="text1" w:themeTint="FF" w:themeShade="FF"/>
          <w:sz w:val="24"/>
          <w:szCs w:val="24"/>
          <w:u w:val="single"/>
        </w:rPr>
      </w:pPr>
      <w:r w:rsidRPr="45003A96" w:rsidR="1AD208E4">
        <w:rPr>
          <w:u w:val="single"/>
        </w:rPr>
        <w:t xml:space="preserve">Multicultural </w:t>
      </w:r>
      <w:r w:rsidRPr="45003A96" w:rsidR="03A51F8E">
        <w:rPr>
          <w:u w:val="single"/>
        </w:rPr>
        <w:t>c</w:t>
      </w:r>
      <w:r w:rsidRPr="45003A96" w:rsidR="1AD208E4">
        <w:rPr>
          <w:u w:val="single"/>
        </w:rPr>
        <w:t>ommunities</w:t>
      </w:r>
      <w:r w:rsidRPr="45003A96" w:rsidR="00703A10">
        <w:rPr>
          <w:u w:val="single"/>
        </w:rPr>
        <w:t xml:space="preserve"> and engagement</w:t>
      </w:r>
      <w:r w:rsidRPr="45003A96" w:rsidR="1AD208E4">
        <w:rPr>
          <w:u w:val="single"/>
        </w:rPr>
        <w:t>:</w:t>
      </w:r>
    </w:p>
    <w:p w:rsidRPr="008A7F93" w:rsidR="008A7F93" w:rsidP="008A7F93" w:rsidRDefault="1AD208E4" w14:paraId="742EB019" w14:textId="1A6B0146">
      <w:pPr>
        <w:pStyle w:val="ListParagraph"/>
        <w:numPr>
          <w:ilvl w:val="0"/>
          <w:numId w:val="2"/>
        </w:numPr>
        <w:spacing w:before="240" w:after="240"/>
        <w:rPr>
          <w:u w:val="single"/>
        </w:rPr>
      </w:pPr>
      <w:r w:rsidRPr="31F9E402">
        <w:t xml:space="preserve">Community </w:t>
      </w:r>
      <w:r w:rsidRPr="31F9E402" w:rsidR="7B1633A1">
        <w:t>o</w:t>
      </w:r>
      <w:r w:rsidRPr="31F9E402">
        <w:t xml:space="preserve">utreach: </w:t>
      </w:r>
      <w:r w:rsidRPr="31F9E402" w:rsidR="3CC998AD">
        <w:t>t</w:t>
      </w:r>
      <w:r w:rsidRPr="31F9E402">
        <w:t>argeted activities for diverse groups, including Muslim prayers on Friday evenings and partnerships with multicultural community groups.</w:t>
      </w:r>
    </w:p>
    <w:p w:rsidR="00703A10" w:rsidP="008A7F93" w:rsidRDefault="00703A10" w14:paraId="3F1FAB07" w14:textId="13064FC3">
      <w:pPr>
        <w:pStyle w:val="ListParagraph"/>
        <w:numPr>
          <w:ilvl w:val="0"/>
          <w:numId w:val="2"/>
        </w:numPr>
        <w:spacing w:after="0"/>
      </w:pPr>
      <w:r w:rsidRPr="31F9E402">
        <w:t>Community engagement: volunteer schemes, partnerships with health and social care services, and support for local community groups.</w:t>
      </w:r>
    </w:p>
    <w:p w:rsidRPr="00703A10" w:rsidR="1AD208E4" w:rsidP="45003A96" w:rsidRDefault="1AD208E4" w14:paraId="27C4F22C" w14:textId="17AA966F">
      <w:pPr>
        <w:pStyle w:val="Normal"/>
        <w:spacing w:before="240" w:after="240"/>
        <w:rPr>
          <w:color w:val="000000" w:themeColor="text1" w:themeTint="FF" w:themeShade="FF"/>
          <w:sz w:val="24"/>
          <w:szCs w:val="24"/>
          <w:u w:val="single"/>
        </w:rPr>
      </w:pPr>
      <w:r w:rsidRPr="45003A96" w:rsidR="1AD208E4">
        <w:rPr>
          <w:u w:val="single"/>
        </w:rPr>
        <w:t>Environmental initiatives:</w:t>
      </w:r>
    </w:p>
    <w:p w:rsidR="1AD208E4" w:rsidP="00DD248B" w:rsidRDefault="1AD208E4" w14:paraId="2AB42A9C" w14:textId="480F3658">
      <w:pPr>
        <w:pStyle w:val="ListParagraph"/>
        <w:numPr>
          <w:ilvl w:val="0"/>
          <w:numId w:val="2"/>
        </w:numPr>
        <w:spacing w:after="0"/>
      </w:pPr>
      <w:r w:rsidRPr="31F9E402">
        <w:t>Carbon Reduction Plan</w:t>
      </w:r>
      <w:r w:rsidR="00703A10">
        <w:t xml:space="preserve"> </w:t>
      </w:r>
      <w:r w:rsidRPr="31F9E402">
        <w:t>with specific targets for reducing emissions and waste.</w:t>
      </w:r>
    </w:p>
    <w:p w:rsidR="0027749B" w:rsidP="45003A96" w:rsidRDefault="1AD208E4" w14:paraId="39C88165" w14:textId="77777777">
      <w:pPr>
        <w:pStyle w:val="Normal"/>
        <w:spacing w:before="240" w:after="240"/>
        <w:rPr>
          <w:color w:val="000000" w:themeColor="text1" w:themeTint="FF" w:themeShade="FF"/>
          <w:sz w:val="24"/>
          <w:szCs w:val="24"/>
          <w:u w:val="single"/>
        </w:rPr>
      </w:pPr>
      <w:r w:rsidRPr="45003A96" w:rsidR="1AD208E4">
        <w:rPr>
          <w:u w:val="single"/>
        </w:rPr>
        <w:t xml:space="preserve">Health and </w:t>
      </w:r>
      <w:r w:rsidRPr="45003A96" w:rsidR="098A2D97">
        <w:rPr>
          <w:u w:val="single"/>
        </w:rPr>
        <w:t>w</w:t>
      </w:r>
      <w:r w:rsidRPr="45003A96" w:rsidR="1AD208E4">
        <w:rPr>
          <w:u w:val="single"/>
        </w:rPr>
        <w:t>ellbeing:</w:t>
      </w:r>
    </w:p>
    <w:p w:rsidRPr="0027749B" w:rsidR="0027749B" w:rsidP="0027749B" w:rsidRDefault="1AD208E4" w14:paraId="08C16056" w14:textId="77777777">
      <w:pPr>
        <w:pStyle w:val="ListParagraph"/>
        <w:numPr>
          <w:ilvl w:val="0"/>
          <w:numId w:val="2"/>
        </w:numPr>
        <w:spacing w:before="240" w:after="240"/>
        <w:rPr>
          <w:u w:val="single"/>
        </w:rPr>
      </w:pPr>
      <w:r>
        <w:t xml:space="preserve">Health Hub Initiatives: Chatty Café, </w:t>
      </w:r>
      <w:r w:rsidR="7058958E">
        <w:t xml:space="preserve">You Move, </w:t>
      </w:r>
      <w:r>
        <w:t>Little Lungs Matter policy, and quiet hours across all sites.</w:t>
      </w:r>
    </w:p>
    <w:p w:rsidRPr="0027749B" w:rsidR="0027749B" w:rsidP="45003A96" w:rsidRDefault="154B9377" w14:paraId="0EDE5271" w14:textId="3C759144">
      <w:pPr>
        <w:pStyle w:val="ListParagraph"/>
        <w:spacing w:before="240" w:after="240"/>
        <w:rPr>
          <w:color w:val="000000" w:themeColor="text1" w:themeTint="FF" w:themeShade="FF"/>
          <w:sz w:val="24"/>
          <w:szCs w:val="24"/>
        </w:rPr>
      </w:pPr>
      <w:r w:rsidR="1AD208E4">
        <w:rPr/>
        <w:t xml:space="preserve">Healthy </w:t>
      </w:r>
      <w:r w:rsidR="62067AE4">
        <w:rPr/>
        <w:t>c</w:t>
      </w:r>
      <w:r w:rsidR="1AD208E4">
        <w:rPr/>
        <w:t xml:space="preserve">atering: </w:t>
      </w:r>
      <w:r w:rsidR="22B009C6">
        <w:rPr/>
        <w:t>p</w:t>
      </w:r>
      <w:r w:rsidR="1AD208E4">
        <w:rPr/>
        <w:t>romotion of healthy catering and vending options</w:t>
      </w:r>
      <w:r w:rsidR="00703A10">
        <w:rPr/>
        <w:t xml:space="preserve"> across the sites</w:t>
      </w:r>
      <w:r w:rsidR="002E6E07">
        <w:rPr/>
        <w:t xml:space="preserve">, including </w:t>
      </w:r>
      <w:r w:rsidR="154B9377">
        <w:rPr/>
        <w:t>cafés.</w:t>
      </w:r>
    </w:p>
    <w:p w:rsidRPr="0027749B" w:rsidR="0027749B" w:rsidP="45003A96" w:rsidRDefault="154B9377" w14:paraId="3EF02B2D" w14:textId="5414EA6E">
      <w:pPr>
        <w:pStyle w:val="ListParagraph"/>
        <w:spacing w:before="240" w:after="240"/>
        <w:rPr>
          <w:color w:val="000000" w:themeColor="text1" w:themeTint="FF" w:themeShade="FF"/>
          <w:sz w:val="24"/>
          <w:szCs w:val="24"/>
          <w:u w:val="single"/>
        </w:rPr>
      </w:pPr>
      <w:r w:rsidR="544C79E0">
        <w:rPr/>
        <w:t xml:space="preserve">More Leisure and teams from the </w:t>
      </w:r>
      <w:r w:rsidR="544C79E0">
        <w:rPr/>
        <w:t>Council’s Communities and Citizens</w:t>
      </w:r>
      <w:r w:rsidR="544C79E0">
        <w:rPr/>
        <w:t xml:space="preserve"> Services </w:t>
      </w:r>
      <w:r w:rsidR="154B9377">
        <w:rPr/>
        <w:t xml:space="preserve">to </w:t>
      </w:r>
      <w:r w:rsidR="10D95605">
        <w:rPr/>
        <w:t xml:space="preserve">continue </w:t>
      </w:r>
      <w:r w:rsidR="154B9377">
        <w:rPr/>
        <w:t>work</w:t>
      </w:r>
      <w:r w:rsidR="06C9B08E">
        <w:rPr/>
        <w:t>ing</w:t>
      </w:r>
      <w:r w:rsidR="154B9377">
        <w:rPr/>
        <w:t xml:space="preserve"> with key partners such as the ICB, Public Health, </w:t>
      </w:r>
      <w:r w:rsidR="5F61B599">
        <w:rPr/>
        <w:t xml:space="preserve">Oxfordshire </w:t>
      </w:r>
      <w:r w:rsidR="154B9377">
        <w:rPr/>
        <w:t>County Council Adult Social Care and Thames Valley Police.</w:t>
      </w:r>
    </w:p>
    <w:p w:rsidRPr="0027749B" w:rsidR="1AD208E4" w:rsidP="0027749B" w:rsidRDefault="1AD208E4" w14:paraId="41519BC7" w14:textId="2B0A2312">
      <w:pPr>
        <w:pStyle w:val="ListParagraph"/>
        <w:numPr>
          <w:ilvl w:val="0"/>
          <w:numId w:val="2"/>
        </w:numPr>
        <w:spacing w:before="240" w:after="240"/>
        <w:rPr>
          <w:u w:val="single"/>
        </w:rPr>
      </w:pPr>
      <w:r>
        <w:t>These initiatives are designed to create inclusive and accessible leisure opportunities, improve physical and mental health, and foster community engagement across Oxford.</w:t>
      </w:r>
    </w:p>
    <w:p w:rsidRPr="002B6836" w:rsidR="0040736F" w:rsidP="002B6836" w:rsidRDefault="002329CF" w14:paraId="11308776" w14:textId="77777777">
      <w:pPr>
        <w:pStyle w:val="Heading1"/>
      </w:pPr>
      <w:r w:rsidRPr="002B6836">
        <w:t>Financial implications</w:t>
      </w:r>
    </w:p>
    <w:p w:rsidRPr="001356F1" w:rsidR="00E87F7A" w:rsidP="00862092" w:rsidRDefault="1692A2F9" w14:paraId="0DC981BA" w14:textId="6EEBB070">
      <w:pPr>
        <w:pStyle w:val="ListParagraph"/>
        <w:numPr>
          <w:ilvl w:val="0"/>
          <w:numId w:val="2"/>
        </w:numPr>
        <w:rPr>
          <w:rStyle w:val="bParagraphtextChar"/>
        </w:rPr>
      </w:pPr>
      <w:r w:rsidRPr="31F9E402">
        <w:rPr>
          <w:rStyle w:val="bParagraphtextChar"/>
        </w:rPr>
        <w:t>T</w:t>
      </w:r>
      <w:r w:rsidRPr="31F9E402" w:rsidR="55B20C48">
        <w:rPr>
          <w:rStyle w:val="bParagraphtextChar"/>
        </w:rPr>
        <w:t>here are no financial implications</w:t>
      </w:r>
      <w:r w:rsidRPr="31F9E402" w:rsidR="1996CD4F">
        <w:rPr>
          <w:rStyle w:val="bParagraphtextChar"/>
        </w:rPr>
        <w:t>.</w:t>
      </w:r>
    </w:p>
    <w:p w:rsidRPr="001356F1" w:rsidR="0040736F" w:rsidP="004A6D2F" w:rsidRDefault="0D06F575" w14:paraId="06827778" w14:textId="77777777">
      <w:pPr>
        <w:pStyle w:val="Heading1"/>
      </w:pPr>
      <w:r>
        <w:t>Legal issues</w:t>
      </w:r>
    </w:p>
    <w:p w:rsidRPr="001356F1" w:rsidR="00E87F7A" w:rsidP="45003A96" w:rsidRDefault="5F41EEE1" w14:paraId="562DE13A" w14:textId="7E7AB22D">
      <w:pPr>
        <w:pStyle w:val="ListParagraph"/>
        <w:rPr>
          <w:rStyle w:val="bParagraphtextChar"/>
          <w:color w:val="000000" w:themeColor="text1" w:themeTint="FF" w:themeShade="FF"/>
          <w:sz w:val="24"/>
          <w:szCs w:val="24"/>
        </w:rPr>
      </w:pPr>
      <w:r w:rsidRPr="45003A96" w:rsidR="5F41EEE1">
        <w:rPr>
          <w:rStyle w:val="bParagraphtextChar"/>
        </w:rPr>
        <w:t>There are no legal implications</w:t>
      </w:r>
      <w:r w:rsidRPr="45003A96" w:rsidR="20F72725">
        <w:rPr>
          <w:rStyle w:val="bParagraphtextChar"/>
        </w:rPr>
        <w:t xml:space="preserve"> arising from the report</w:t>
      </w:r>
      <w:r w:rsidRPr="45003A96" w:rsidR="5F41EEE1">
        <w:rPr>
          <w:rStyle w:val="bParagraphtextChar"/>
        </w:rPr>
        <w:t xml:space="preserve">. </w:t>
      </w:r>
    </w:p>
    <w:p w:rsidRPr="001356F1" w:rsidR="002329CF" w:rsidP="004A6D2F" w:rsidRDefault="002329CF" w14:paraId="39265579" w14:textId="77777777">
      <w:pPr>
        <w:pStyle w:val="Heading1"/>
      </w:pPr>
      <w:r w:rsidRPr="001356F1">
        <w:t>Level of risk</w:t>
      </w:r>
    </w:p>
    <w:p w:rsidRPr="00FB3B71" w:rsidR="00FB3B71" w:rsidP="45C958A3" w:rsidRDefault="52FCA584" w14:paraId="7A1C3EC3" w14:textId="79C67260">
      <w:pPr>
        <w:pStyle w:val="bParagraphtext"/>
        <w:numPr>
          <w:ilvl w:val="0"/>
          <w:numId w:val="2"/>
        </w:numPr>
        <w:rPr/>
      </w:pPr>
      <w:r w:rsidR="05A57719">
        <w:rPr/>
        <w:t xml:space="preserve">The level of risk is low. </w:t>
      </w:r>
      <w:r w:rsidR="2B21C3D9">
        <w:rPr/>
        <w:t>A</w:t>
      </w:r>
      <w:r w:rsidR="115B7C4B">
        <w:rPr/>
        <w:t xml:space="preserve"> </w:t>
      </w:r>
      <w:r w:rsidR="7FCC5E44">
        <w:rPr/>
        <w:t>R</w:t>
      </w:r>
      <w:r w:rsidR="2DE0789D">
        <w:rPr/>
        <w:t xml:space="preserve">isk </w:t>
      </w:r>
      <w:r w:rsidR="7FCC5E44">
        <w:rPr/>
        <w:t>R</w:t>
      </w:r>
      <w:r w:rsidR="2B21C3D9">
        <w:rPr/>
        <w:t>egister</w:t>
      </w:r>
      <w:r w:rsidR="2DE0789D">
        <w:rPr/>
        <w:t xml:space="preserve"> </w:t>
      </w:r>
      <w:r w:rsidR="60BF26A8">
        <w:rPr/>
        <w:t xml:space="preserve">is shown in </w:t>
      </w:r>
      <w:r w:rsidR="3B9CCB87">
        <w:rPr/>
        <w:t>A</w:t>
      </w:r>
      <w:r w:rsidR="2DE0789D">
        <w:rPr/>
        <w:t>ppendix</w:t>
      </w:r>
      <w:r w:rsidR="28BD9C88">
        <w:rPr/>
        <w:t xml:space="preserve"> </w:t>
      </w:r>
      <w:r w:rsidR="523BF386">
        <w:rPr/>
        <w:t>4</w:t>
      </w:r>
      <w:r w:rsidR="2DE0789D">
        <w:rPr/>
        <w:t xml:space="preserve">. </w:t>
      </w:r>
    </w:p>
    <w:p w:rsidRPr="00FB3B71" w:rsidR="00FB3B71" w:rsidP="45C958A3" w:rsidRDefault="52FCA584" w14:paraId="4CCFD1A7" w14:textId="69DB9954">
      <w:pPr>
        <w:pStyle w:val="bParagraphtext"/>
        <w:numPr>
          <w:ilvl w:val="0"/>
          <w:numId w:val="0"/>
        </w:numPr>
        <w:rPr>
          <w:b w:val="1"/>
          <w:bCs w:val="1"/>
        </w:rPr>
      </w:pPr>
      <w:r w:rsidRPr="45C958A3" w:rsidR="70139521">
        <w:rPr>
          <w:b w:val="1"/>
          <w:bCs w:val="1"/>
        </w:rPr>
        <w:t>Equalities impact</w:t>
      </w:r>
    </w:p>
    <w:p w:rsidRPr="00FB3B71" w:rsidR="00FB3B71" w:rsidP="45C958A3" w:rsidRDefault="52FCA584" w14:paraId="28DC08B6" w14:textId="18F289AA">
      <w:pPr>
        <w:pStyle w:val="bParagraphtext"/>
        <w:numPr>
          <w:ilvl w:val="0"/>
          <w:numId w:val="2"/>
        </w:numPr>
        <w:rPr/>
      </w:pPr>
      <w:r w:rsidR="52FCA584">
        <w:rPr/>
        <w:t xml:space="preserve">The </w:t>
      </w:r>
      <w:r w:rsidR="2B21C3D9">
        <w:rPr/>
        <w:t>Equalities Impact Assessment</w:t>
      </w:r>
      <w:r w:rsidR="2DE0789D">
        <w:rPr/>
        <w:t xml:space="preserve"> </w:t>
      </w:r>
      <w:r w:rsidR="45CE96EF">
        <w:rPr/>
        <w:t xml:space="preserve">is shown in </w:t>
      </w:r>
      <w:r w:rsidR="7AE31478">
        <w:rPr/>
        <w:t>A</w:t>
      </w:r>
      <w:r w:rsidR="2DE0789D">
        <w:rPr/>
        <w:t>ppendix</w:t>
      </w:r>
      <w:r w:rsidR="25BF9634">
        <w:rPr/>
        <w:t xml:space="preserve"> </w:t>
      </w:r>
      <w:r w:rsidR="73FE2230">
        <w:rPr/>
        <w:t>5</w:t>
      </w:r>
      <w:r w:rsidR="2DE0789D">
        <w:rPr/>
        <w:t>.</w:t>
      </w:r>
      <w:r w:rsidR="2B21C3D9">
        <w:rPr/>
        <w:t xml:space="preserve"> </w:t>
      </w:r>
      <w:r w:rsidR="0095996F">
        <w:rPr/>
        <w:t xml:space="preserve">The Annual Service Plan incorporates equalities at its core and there are no implications arising from this. </w:t>
      </w:r>
    </w:p>
    <w:p w:rsidR="00FB3B71" w:rsidP="00FB3B71" w:rsidRDefault="573100BD" w14:paraId="1C46F1C8" w14:textId="77777777">
      <w:pPr>
        <w:pStyle w:val="bParagraphtext"/>
        <w:numPr>
          <w:ilvl w:val="0"/>
          <w:numId w:val="0"/>
        </w:numPr>
      </w:pPr>
      <w:bookmarkStart w:name="_Hlk184712246" w:id="0"/>
      <w:r w:rsidRPr="31F9E402">
        <w:rPr>
          <w:b/>
          <w:bCs/>
        </w:rPr>
        <w:t>Carbon and environmental considerations</w:t>
      </w:r>
      <w:r w:rsidRPr="31F9E402" w:rsidR="2F1B55A2">
        <w:rPr>
          <w:b/>
          <w:bCs/>
        </w:rPr>
        <w:t xml:space="preserve"> </w:t>
      </w:r>
    </w:p>
    <w:p w:rsidR="00FB3B71" w:rsidP="31F9E402" w:rsidRDefault="72DBD252" w14:paraId="68B639F4" w14:textId="7DAF78DE">
      <w:pPr>
        <w:pStyle w:val="bParagraphtext"/>
        <w:numPr>
          <w:ilvl w:val="0"/>
          <w:numId w:val="2"/>
        </w:numPr>
      </w:pPr>
      <w:r>
        <w:t>Not required, as f</w:t>
      </w:r>
      <w:r w:rsidR="2F1B55A2">
        <w:t>or key decisions only</w:t>
      </w:r>
      <w:r w:rsidR="7EA40AD3">
        <w:t>.</w:t>
      </w:r>
    </w:p>
    <w:bookmarkEnd w:id="0"/>
    <w:p w:rsidRPr="001356F1" w:rsidR="00E206D6" w:rsidP="0032743A" w:rsidRDefault="00E206D6" w14:paraId="1C3EE284" w14:textId="77777777"/>
    <w:p w:rsidRPr="001356F1" w:rsidR="002329CF" w:rsidP="004A6D2F" w:rsidRDefault="002329CF" w14:paraId="3384B174" w14:textId="77777777"/>
    <w:tbl>
      <w:tblPr>
        <w:tblW w:w="0" w:type="auto"/>
        <w:tblInd w:w="108" w:type="dxa"/>
        <w:tbl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blBorders>
        <w:tblLook w:val="04A0" w:firstRow="1" w:lastRow="0" w:firstColumn="1" w:lastColumn="0" w:noHBand="0" w:noVBand="1"/>
      </w:tblPr>
      <w:tblGrid>
        <w:gridCol w:w="3969"/>
        <w:gridCol w:w="4962"/>
      </w:tblGrid>
      <w:tr w:rsidRPr="001356F1" w:rsidR="00DF093E" w:rsidTr="0DCFC4A0" w14:paraId="0FA94296" w14:textId="77777777">
        <w:trPr>
          <w:cantSplit/>
          <w:trHeight w:val="396"/>
        </w:trPr>
        <w:tc>
          <w:tcPr>
            <w:tcW w:w="39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auto"/>
          </w:tcPr>
          <w:p w:rsidRPr="001356F1" w:rsidR="00E87F7A" w:rsidP="00A46E98" w:rsidRDefault="00E87F7A" w14:paraId="04987E45" w14:textId="77777777">
            <w:pPr>
              <w:rPr>
                <w:b/>
              </w:rPr>
            </w:pPr>
            <w:r w:rsidRPr="001356F1">
              <w:rPr>
                <w:b/>
              </w:rPr>
              <w:t>Report author</w:t>
            </w:r>
          </w:p>
        </w:tc>
        <w:tc>
          <w:tcPr>
            <w:tcW w:w="496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356F1" w:rsidR="00E87F7A" w:rsidP="00A46E98" w:rsidRDefault="73EEAB68" w14:paraId="6930C959" w14:textId="22758816">
            <w:r>
              <w:t>Hagan Lewisman</w:t>
            </w:r>
          </w:p>
        </w:tc>
      </w:tr>
      <w:tr w:rsidRPr="001356F1" w:rsidR="00DF093E" w:rsidTr="0DCFC4A0" w14:paraId="07A5B9C2" w14:textId="77777777">
        <w:trPr>
          <w:cantSplit/>
          <w:trHeight w:val="396"/>
        </w:trPr>
        <w:tc>
          <w:tcPr>
            <w:tcW w:w="3969" w:type="dxa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shd w:val="clear" w:color="auto" w:fill="auto"/>
          </w:tcPr>
          <w:p w:rsidRPr="001356F1" w:rsidR="00E87F7A" w:rsidP="00A46E98" w:rsidRDefault="00E87F7A" w14:paraId="6B6C3381" w14:textId="77777777">
            <w:r w:rsidRPr="001356F1">
              <w:lastRenderedPageBreak/>
              <w:t>Job title</w:t>
            </w:r>
          </w:p>
        </w:tc>
        <w:tc>
          <w:tcPr>
            <w:tcW w:w="4962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8" w:space="0"/>
            </w:tcBorders>
            <w:shd w:val="clear" w:color="auto" w:fill="auto"/>
          </w:tcPr>
          <w:p w:rsidRPr="001356F1" w:rsidR="00E87F7A" w:rsidP="00A46E98" w:rsidRDefault="70036F69" w14:paraId="3100D2DA" w14:textId="68BCAD86">
            <w:r>
              <w:t>Active Communities Manager</w:t>
            </w:r>
          </w:p>
        </w:tc>
      </w:tr>
      <w:tr w:rsidRPr="001356F1" w:rsidR="00DF093E" w:rsidTr="0DCFC4A0" w14:paraId="6DEB5543" w14:textId="77777777">
        <w:trPr>
          <w:cantSplit/>
          <w:trHeight w:val="396"/>
        </w:trPr>
        <w:tc>
          <w:tcPr>
            <w:tcW w:w="3969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shd w:val="clear" w:color="auto" w:fill="auto"/>
          </w:tcPr>
          <w:p w:rsidRPr="001356F1" w:rsidR="00E87F7A" w:rsidP="00A46E98" w:rsidRDefault="00E87F7A" w14:paraId="7BD402AB" w14:textId="77777777">
            <w:r w:rsidRPr="001356F1">
              <w:t>Service area or department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shd w:val="clear" w:color="auto" w:fill="auto"/>
          </w:tcPr>
          <w:p w:rsidRPr="001356F1" w:rsidR="00E87F7A" w:rsidP="0DCFC4A0" w:rsidRDefault="740F1F71" w14:paraId="0F7746FF" w14:textId="72816C74">
            <w:pPr>
              <w:spacing w:line="259" w:lineRule="auto"/>
            </w:pPr>
            <w:r>
              <w:t>Communities and Citizen Services</w:t>
            </w:r>
          </w:p>
        </w:tc>
      </w:tr>
      <w:tr w:rsidRPr="001356F1" w:rsidR="00DF093E" w:rsidTr="0DCFC4A0" w14:paraId="572FB489" w14:textId="77777777">
        <w:trPr>
          <w:cantSplit/>
          <w:trHeight w:val="396"/>
        </w:trPr>
        <w:tc>
          <w:tcPr>
            <w:tcW w:w="3969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shd w:val="clear" w:color="auto" w:fill="auto"/>
          </w:tcPr>
          <w:p w:rsidRPr="001356F1" w:rsidR="00E87F7A" w:rsidP="00A46E98" w:rsidRDefault="00E87F7A" w14:paraId="7832E71E" w14:textId="77777777">
            <w:r w:rsidRPr="001356F1">
              <w:t xml:space="preserve">Telephone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shd w:val="clear" w:color="auto" w:fill="auto"/>
          </w:tcPr>
          <w:p w:rsidRPr="001356F1" w:rsidR="00E87F7A" w:rsidP="00A46E98" w:rsidRDefault="00E87F7A" w14:paraId="53D96CCC" w14:textId="4DCEAB2E">
            <w:r>
              <w:t xml:space="preserve">01865 </w:t>
            </w:r>
            <w:r w:rsidR="0E34339B">
              <w:t>252706</w:t>
            </w:r>
          </w:p>
        </w:tc>
      </w:tr>
      <w:tr w:rsidRPr="001356F1" w:rsidR="005570B5" w:rsidTr="0DCFC4A0" w14:paraId="40AEFD69" w14:textId="77777777">
        <w:trPr>
          <w:cantSplit/>
          <w:trHeight w:val="396"/>
        </w:trPr>
        <w:tc>
          <w:tcPr>
            <w:tcW w:w="3969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auto"/>
          </w:tcPr>
          <w:p w:rsidRPr="001356F1" w:rsidR="00E87F7A" w:rsidP="00A46E98" w:rsidRDefault="00E87F7A" w14:paraId="5C2DD139" w14:textId="77777777">
            <w:r w:rsidRPr="001356F1">
              <w:t xml:space="preserve">e-mail 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1356F1" w:rsidR="00E87F7A" w:rsidP="00A46E98" w:rsidRDefault="00C31C48" w14:paraId="64C04F4C" w14:textId="616320EC">
            <w:pPr>
              <w:rPr>
                <w:rStyle w:val="Hyperlink"/>
                <w:color w:val="000000"/>
              </w:rPr>
            </w:pPr>
            <w:hyperlink r:id="rId11">
              <w:r w:rsidRPr="0DCFC4A0" w:rsidR="25FF3BD6">
                <w:rPr>
                  <w:rStyle w:val="Hyperlink"/>
                </w:rPr>
                <w:t>Hlewisman@oxford.gov.uk</w:t>
              </w:r>
            </w:hyperlink>
            <w:r w:rsidRPr="0DCFC4A0" w:rsidR="25FF3BD6">
              <w:rPr>
                <w:rStyle w:val="Hyperlink"/>
                <w:color w:val="000000" w:themeColor="text1"/>
              </w:rPr>
              <w:t xml:space="preserve"> </w:t>
            </w:r>
          </w:p>
        </w:tc>
      </w:tr>
    </w:tbl>
    <w:p w:rsidRPr="001356F1" w:rsidR="00433B96" w:rsidP="004A6D2F" w:rsidRDefault="00433B96" w14:paraId="143C8714" w14:textId="77777777"/>
    <w:tbl>
      <w:tblPr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31"/>
      </w:tblGrid>
      <w:tr w:rsidRPr="001356F1" w:rsidR="00DF093E" w:rsidTr="0DCFC4A0" w14:paraId="12CCF8EE" w14:textId="77777777">
        <w:trPr>
          <w:trHeight w:val="300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</w:tcPr>
          <w:p w:rsidRPr="001356F1" w:rsidR="0093067A" w:rsidP="00F41AC1" w:rsidRDefault="792D79F8" w14:paraId="61B16C51" w14:textId="226BA202">
            <w:r w:rsidRPr="0DCFC4A0">
              <w:rPr>
                <w:rStyle w:val="Firstpagetablebold"/>
              </w:rPr>
              <w:t xml:space="preserve">Background Papers: </w:t>
            </w:r>
          </w:p>
          <w:p w:rsidRPr="001356F1" w:rsidR="0093067A" w:rsidP="0DCFC4A0" w:rsidRDefault="003342DD" w14:paraId="7116CD40" w14:textId="753BBFD0">
            <w:pPr>
              <w:spacing w:line="259" w:lineRule="auto"/>
            </w:pPr>
            <w:r w:rsidRPr="0DCFC4A0">
              <w:rPr>
                <w:rStyle w:val="Firstpagetablebold"/>
                <w:rFonts w:eastAsia="Arial" w:cs="Arial"/>
                <w:b w:val="0"/>
                <w:color w:val="auto"/>
              </w:rPr>
              <w:t>None</w:t>
            </w:r>
          </w:p>
        </w:tc>
      </w:tr>
    </w:tbl>
    <w:p w:rsidR="00CE4C87" w:rsidP="0093067A" w:rsidRDefault="00CE4C87" w14:paraId="6E09069D" w14:textId="77777777"/>
    <w:sectPr w:rsidRPr="009E51FC" w:rsidR="004456DD" w:rsidSect="002B6836">
      <w:footerReference w:type="even" r:id="rId12"/>
      <w:headerReference w:type="first" r:id="rId13"/>
      <w:pgSz w:w="11906" w:h="16838" w:orient="portrait" w:code="9"/>
      <w:pgMar w:top="1418" w:right="1304" w:bottom="1304" w:left="1304" w:header="1134" w:footer="680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4095" w:rsidP="004A6D2F" w:rsidRDefault="00154095" w14:paraId="7D50A6D9" w14:textId="77777777">
      <w:r>
        <w:separator/>
      </w:r>
    </w:p>
  </w:endnote>
  <w:endnote w:type="continuationSeparator" w:id="0">
    <w:p w:rsidR="00154095" w:rsidP="004A6D2F" w:rsidRDefault="00154095" w14:paraId="04781A8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FAD" w:rsidP="004A6D2F" w:rsidRDefault="00364FAD" w14:paraId="098A7B8B" w14:textId="77777777">
    <w:pPr>
      <w:pStyle w:val="Footer"/>
    </w:pPr>
    <w:r>
      <w:t>Do not use a footer or page numbers.</w:t>
    </w:r>
  </w:p>
  <w:p w:rsidR="00364FAD" w:rsidP="004A6D2F" w:rsidRDefault="00364FAD" w14:paraId="20B2461C" w14:textId="77777777">
    <w:pPr>
      <w:pStyle w:val="Footer"/>
    </w:pPr>
  </w:p>
  <w:p w:rsidR="00364FAD" w:rsidP="004A6D2F" w:rsidRDefault="00364FAD" w14:paraId="7238660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4095" w:rsidP="004A6D2F" w:rsidRDefault="00154095" w14:paraId="43627BD6" w14:textId="77777777">
      <w:r>
        <w:separator/>
      </w:r>
    </w:p>
  </w:footnote>
  <w:footnote w:type="continuationSeparator" w:id="0">
    <w:p w:rsidR="00154095" w:rsidP="004A6D2F" w:rsidRDefault="00154095" w14:paraId="059AED4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5547E" w:rsidP="00D5547E" w:rsidRDefault="00C05260" w14:paraId="4A0D1F7F" w14:textId="77777777">
    <w:pPr>
      <w:pStyle w:val="Header"/>
      <w:jc w:val="right"/>
    </w:pPr>
    <w:r>
      <w:rPr>
        <w:noProof/>
      </w:rPr>
      <w:drawing>
        <wp:inline distT="0" distB="0" distL="0" distR="0" wp14:anchorId="35341002" wp14:editId="2956E09D">
          <wp:extent cx="838200" cy="1119505"/>
          <wp:effectExtent l="0" t="0" r="0" b="4445"/>
          <wp:docPr id="1" name="Picture 1" title="Oxford Ci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zCVCtAsu" int2:invalidationBookmarkName="" int2:hashCode="NFrsCWQtroWKsb" int2:id="zddeWa4Y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2">
    <w:nsid w:val="4a0dd6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e6e23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2f238c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DFDE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70EF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B46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0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347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F060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AC253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4CAEA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488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E43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8C30BB"/>
    <w:multiLevelType w:val="multilevel"/>
    <w:tmpl w:val="E67CE66C"/>
    <w:styleLink w:val="StyleNumberedLeft0cmHanging075cm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CF5C54"/>
    <w:multiLevelType w:val="multilevel"/>
    <w:tmpl w:val="43D6D2FA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C05EF"/>
    <w:multiLevelType w:val="multilevel"/>
    <w:tmpl w:val="43D6D2FA"/>
    <w:numStyleLink w:val="StyleBulletedSymbolsymbolLeft063cmHanging063cm"/>
  </w:abstractNum>
  <w:abstractNum w:abstractNumId="13" w15:restartNumberingAfterBreak="0">
    <w:nsid w:val="092922A7"/>
    <w:multiLevelType w:val="hybridMultilevel"/>
    <w:tmpl w:val="2B26D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731236"/>
    <w:multiLevelType w:val="multilevel"/>
    <w:tmpl w:val="1700AC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E3CBC"/>
    <w:multiLevelType w:val="hybridMultilevel"/>
    <w:tmpl w:val="8BD02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80FC5"/>
    <w:multiLevelType w:val="hybridMultilevel"/>
    <w:tmpl w:val="5B36B17E"/>
    <w:lvl w:ilvl="0" w:tplc="AFA25F0A">
      <w:start w:val="1"/>
      <w:numFmt w:val="bullet"/>
      <w:pStyle w:val="Bulletpoints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263A6A"/>
    <w:multiLevelType w:val="multilevel"/>
    <w:tmpl w:val="43D6D2FA"/>
    <w:numStyleLink w:val="StyleBulletedSymbolsymbolLeft063cmHanging063cm"/>
  </w:abstractNum>
  <w:abstractNum w:abstractNumId="18" w15:restartNumberingAfterBreak="0">
    <w:nsid w:val="2C0A3AC3"/>
    <w:multiLevelType w:val="hybridMultilevel"/>
    <w:tmpl w:val="2B326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DDAD7"/>
    <w:multiLevelType w:val="hybridMultilevel"/>
    <w:tmpl w:val="DA4405C4"/>
    <w:lvl w:ilvl="0" w:tplc="CD688D0E">
      <w:start w:val="1"/>
      <w:numFmt w:val="decimal"/>
      <w:lvlText w:val="%1."/>
      <w:lvlJc w:val="left"/>
      <w:pPr>
        <w:ind w:left="360" w:hanging="360"/>
      </w:pPr>
    </w:lvl>
    <w:lvl w:ilvl="1" w:tplc="EEEED794">
      <w:start w:val="1"/>
      <w:numFmt w:val="lowerLetter"/>
      <w:lvlText w:val="%2."/>
      <w:lvlJc w:val="left"/>
      <w:pPr>
        <w:ind w:left="1080" w:hanging="360"/>
      </w:pPr>
    </w:lvl>
    <w:lvl w:ilvl="2" w:tplc="E9F85148">
      <w:start w:val="1"/>
      <w:numFmt w:val="lowerRoman"/>
      <w:lvlText w:val="%3."/>
      <w:lvlJc w:val="right"/>
      <w:pPr>
        <w:ind w:left="1800" w:hanging="180"/>
      </w:pPr>
    </w:lvl>
    <w:lvl w:ilvl="3" w:tplc="CBBEE2AA">
      <w:start w:val="1"/>
      <w:numFmt w:val="decimal"/>
      <w:lvlText w:val="%4."/>
      <w:lvlJc w:val="left"/>
      <w:pPr>
        <w:ind w:left="2520" w:hanging="360"/>
      </w:pPr>
    </w:lvl>
    <w:lvl w:ilvl="4" w:tplc="543E275A">
      <w:start w:val="1"/>
      <w:numFmt w:val="lowerLetter"/>
      <w:lvlText w:val="%5."/>
      <w:lvlJc w:val="left"/>
      <w:pPr>
        <w:ind w:left="3240" w:hanging="360"/>
      </w:pPr>
    </w:lvl>
    <w:lvl w:ilvl="5" w:tplc="2C92630C">
      <w:start w:val="1"/>
      <w:numFmt w:val="lowerRoman"/>
      <w:lvlText w:val="%6."/>
      <w:lvlJc w:val="right"/>
      <w:pPr>
        <w:ind w:left="3960" w:hanging="180"/>
      </w:pPr>
    </w:lvl>
    <w:lvl w:ilvl="6" w:tplc="1E40CAC2">
      <w:start w:val="1"/>
      <w:numFmt w:val="decimal"/>
      <w:lvlText w:val="%7."/>
      <w:lvlJc w:val="left"/>
      <w:pPr>
        <w:ind w:left="4680" w:hanging="360"/>
      </w:pPr>
    </w:lvl>
    <w:lvl w:ilvl="7" w:tplc="F73C664C">
      <w:start w:val="1"/>
      <w:numFmt w:val="lowerLetter"/>
      <w:lvlText w:val="%8."/>
      <w:lvlJc w:val="left"/>
      <w:pPr>
        <w:ind w:left="5400" w:hanging="360"/>
      </w:pPr>
    </w:lvl>
    <w:lvl w:ilvl="8" w:tplc="E7D448A4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B5DD9"/>
    <w:multiLevelType w:val="hybridMultilevel"/>
    <w:tmpl w:val="501A6F98"/>
    <w:lvl w:ilvl="0" w:tplc="7A6A9A4C">
      <w:start w:val="1"/>
      <w:numFmt w:val="decimal"/>
      <w:lvlText w:val="%1."/>
      <w:lvlJc w:val="left"/>
      <w:pPr>
        <w:ind w:left="720" w:hanging="360"/>
      </w:pPr>
    </w:lvl>
    <w:lvl w:ilvl="1" w:tplc="F55C9130">
      <w:start w:val="1"/>
      <w:numFmt w:val="lowerLetter"/>
      <w:lvlText w:val="%2."/>
      <w:lvlJc w:val="left"/>
      <w:pPr>
        <w:ind w:left="1440" w:hanging="360"/>
      </w:pPr>
    </w:lvl>
    <w:lvl w:ilvl="2" w:tplc="5F407AB0">
      <w:start w:val="1"/>
      <w:numFmt w:val="lowerRoman"/>
      <w:lvlText w:val="%3."/>
      <w:lvlJc w:val="right"/>
      <w:pPr>
        <w:ind w:left="2160" w:hanging="180"/>
      </w:pPr>
    </w:lvl>
    <w:lvl w:ilvl="3" w:tplc="323EC94E">
      <w:start w:val="1"/>
      <w:numFmt w:val="decimal"/>
      <w:lvlText w:val="%4."/>
      <w:lvlJc w:val="left"/>
      <w:pPr>
        <w:ind w:left="2880" w:hanging="360"/>
      </w:pPr>
    </w:lvl>
    <w:lvl w:ilvl="4" w:tplc="45205E6A">
      <w:start w:val="1"/>
      <w:numFmt w:val="lowerLetter"/>
      <w:lvlText w:val="%5."/>
      <w:lvlJc w:val="left"/>
      <w:pPr>
        <w:ind w:left="3600" w:hanging="360"/>
      </w:pPr>
    </w:lvl>
    <w:lvl w:ilvl="5" w:tplc="8A181EA2">
      <w:start w:val="1"/>
      <w:numFmt w:val="lowerRoman"/>
      <w:lvlText w:val="%6."/>
      <w:lvlJc w:val="right"/>
      <w:pPr>
        <w:ind w:left="4320" w:hanging="180"/>
      </w:pPr>
    </w:lvl>
    <w:lvl w:ilvl="6" w:tplc="7752F7BA">
      <w:start w:val="1"/>
      <w:numFmt w:val="decimal"/>
      <w:lvlText w:val="%7."/>
      <w:lvlJc w:val="left"/>
      <w:pPr>
        <w:ind w:left="5040" w:hanging="360"/>
      </w:pPr>
    </w:lvl>
    <w:lvl w:ilvl="7" w:tplc="497478EE">
      <w:start w:val="1"/>
      <w:numFmt w:val="lowerLetter"/>
      <w:lvlText w:val="%8."/>
      <w:lvlJc w:val="left"/>
      <w:pPr>
        <w:ind w:left="5760" w:hanging="360"/>
      </w:pPr>
    </w:lvl>
    <w:lvl w:ilvl="8" w:tplc="E4F4F27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2AB96"/>
    <w:multiLevelType w:val="multilevel"/>
    <w:tmpl w:val="2D9C0C80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3586B"/>
    <w:multiLevelType w:val="hybridMultilevel"/>
    <w:tmpl w:val="88CA416C"/>
    <w:lvl w:ilvl="0" w:tplc="0DDAB9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0B4923"/>
    <w:multiLevelType w:val="hybridMultilevel"/>
    <w:tmpl w:val="2D883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43E22"/>
    <w:multiLevelType w:val="hybridMultilevel"/>
    <w:tmpl w:val="3E3ABABA"/>
    <w:lvl w:ilvl="0" w:tplc="081A0C3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027960"/>
    <w:multiLevelType w:val="hybridMultilevel"/>
    <w:tmpl w:val="501CC3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37F1004"/>
    <w:multiLevelType w:val="hybridMultilevel"/>
    <w:tmpl w:val="4E022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2530E"/>
    <w:multiLevelType w:val="hybridMultilevel"/>
    <w:tmpl w:val="CEECF3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764EAF"/>
    <w:multiLevelType w:val="hybridMultilevel"/>
    <w:tmpl w:val="AB625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7230A"/>
    <w:multiLevelType w:val="hybridMultilevel"/>
    <w:tmpl w:val="228223EE"/>
    <w:lvl w:ilvl="0" w:tplc="DD1032CA">
      <w:start w:val="1"/>
      <w:numFmt w:val="decimal"/>
      <w:lvlText w:val="%1."/>
      <w:lvlJc w:val="left"/>
      <w:pPr>
        <w:ind w:left="720" w:hanging="360"/>
      </w:pPr>
    </w:lvl>
    <w:lvl w:ilvl="1" w:tplc="D7DA799A">
      <w:start w:val="1"/>
      <w:numFmt w:val="lowerLetter"/>
      <w:lvlText w:val="%2."/>
      <w:lvlJc w:val="left"/>
      <w:pPr>
        <w:ind w:left="1440" w:hanging="360"/>
      </w:pPr>
    </w:lvl>
    <w:lvl w:ilvl="2" w:tplc="A2F28DB8">
      <w:start w:val="1"/>
      <w:numFmt w:val="lowerRoman"/>
      <w:lvlText w:val="%3."/>
      <w:lvlJc w:val="right"/>
      <w:pPr>
        <w:ind w:left="2160" w:hanging="180"/>
      </w:pPr>
    </w:lvl>
    <w:lvl w:ilvl="3" w:tplc="75FCC1B0">
      <w:start w:val="1"/>
      <w:numFmt w:val="decimal"/>
      <w:lvlText w:val="%4."/>
      <w:lvlJc w:val="left"/>
      <w:pPr>
        <w:ind w:left="2880" w:hanging="360"/>
      </w:pPr>
    </w:lvl>
    <w:lvl w:ilvl="4" w:tplc="0414B7E4">
      <w:start w:val="1"/>
      <w:numFmt w:val="lowerLetter"/>
      <w:lvlText w:val="%5."/>
      <w:lvlJc w:val="left"/>
      <w:pPr>
        <w:ind w:left="3600" w:hanging="360"/>
      </w:pPr>
    </w:lvl>
    <w:lvl w:ilvl="5" w:tplc="51D0185E">
      <w:start w:val="1"/>
      <w:numFmt w:val="lowerRoman"/>
      <w:lvlText w:val="%6."/>
      <w:lvlJc w:val="right"/>
      <w:pPr>
        <w:ind w:left="4320" w:hanging="180"/>
      </w:pPr>
    </w:lvl>
    <w:lvl w:ilvl="6" w:tplc="178A49E8">
      <w:start w:val="1"/>
      <w:numFmt w:val="decimal"/>
      <w:lvlText w:val="%7."/>
      <w:lvlJc w:val="left"/>
      <w:pPr>
        <w:ind w:left="5040" w:hanging="360"/>
      </w:pPr>
    </w:lvl>
    <w:lvl w:ilvl="7" w:tplc="A6EACFB6">
      <w:start w:val="1"/>
      <w:numFmt w:val="lowerLetter"/>
      <w:lvlText w:val="%8."/>
      <w:lvlJc w:val="left"/>
      <w:pPr>
        <w:ind w:left="5760" w:hanging="360"/>
      </w:pPr>
    </w:lvl>
    <w:lvl w:ilvl="8" w:tplc="0628866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F2C59"/>
    <w:multiLevelType w:val="hybridMultilevel"/>
    <w:tmpl w:val="396C5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65907"/>
    <w:multiLevelType w:val="hybridMultilevel"/>
    <w:tmpl w:val="55949A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ABA5FD8"/>
    <w:multiLevelType w:val="multilevel"/>
    <w:tmpl w:val="43D6D2FA"/>
    <w:numStyleLink w:val="StyleBulletedSymbolsymbolLeft063cmHanging063cm"/>
  </w:abstractNum>
  <w:abstractNum w:abstractNumId="33" w15:restartNumberingAfterBreak="0">
    <w:nsid w:val="5C7E19E2"/>
    <w:multiLevelType w:val="hybridMultilevel"/>
    <w:tmpl w:val="3146A6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2A22831"/>
    <w:multiLevelType w:val="multilevel"/>
    <w:tmpl w:val="43D6D2FA"/>
    <w:numStyleLink w:val="StyleBulletedSymbolsymbolLeft063cmHanging063cm"/>
  </w:abstractNum>
  <w:abstractNum w:abstractNumId="35" w15:restartNumberingAfterBreak="0">
    <w:nsid w:val="6A9F2B3C"/>
    <w:multiLevelType w:val="multilevel"/>
    <w:tmpl w:val="4C5820D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550E4"/>
    <w:multiLevelType w:val="hybridMultilevel"/>
    <w:tmpl w:val="DD86F5E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C6539BA"/>
    <w:multiLevelType w:val="hybridMultilevel"/>
    <w:tmpl w:val="C1CC39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FD16223"/>
    <w:multiLevelType w:val="hybridMultilevel"/>
    <w:tmpl w:val="E67CE6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8365C6"/>
    <w:multiLevelType w:val="multilevel"/>
    <w:tmpl w:val="E67CE66C"/>
    <w:numStyleLink w:val="StyleNumberedLeft0cmHanging075cm"/>
  </w:abstractNum>
  <w:num w:numId="43">
    <w:abstractNumId w:val="42"/>
  </w:num>
  <w:num w:numId="42">
    <w:abstractNumId w:val="41"/>
  </w:num>
  <w:num w:numId="41">
    <w:abstractNumId w:val="40"/>
  </w:num>
  <w:num w:numId="1" w16cid:durableId="711618540">
    <w:abstractNumId w:val="29"/>
  </w:num>
  <w:num w:numId="2" w16cid:durableId="600458924">
    <w:abstractNumId w:val="19"/>
  </w:num>
  <w:num w:numId="3" w16cid:durableId="960845956">
    <w:abstractNumId w:val="21"/>
  </w:num>
  <w:num w:numId="4" w16cid:durableId="447234877">
    <w:abstractNumId w:val="20"/>
  </w:num>
  <w:num w:numId="5" w16cid:durableId="2036299310">
    <w:abstractNumId w:val="31"/>
  </w:num>
  <w:num w:numId="6" w16cid:durableId="643705505">
    <w:abstractNumId w:val="36"/>
  </w:num>
  <w:num w:numId="7" w16cid:durableId="1284848424">
    <w:abstractNumId w:val="27"/>
  </w:num>
  <w:num w:numId="8" w16cid:durableId="578908713">
    <w:abstractNumId w:val="18"/>
  </w:num>
  <w:num w:numId="9" w16cid:durableId="54470100">
    <w:abstractNumId w:val="33"/>
  </w:num>
  <w:num w:numId="10" w16cid:durableId="694158268">
    <w:abstractNumId w:val="38"/>
  </w:num>
  <w:num w:numId="11" w16cid:durableId="647516062">
    <w:abstractNumId w:val="26"/>
  </w:num>
  <w:num w:numId="12" w16cid:durableId="1160539719">
    <w:abstractNumId w:val="23"/>
  </w:num>
  <w:num w:numId="13" w16cid:durableId="1862670074">
    <w:abstractNumId w:val="13"/>
  </w:num>
  <w:num w:numId="14" w16cid:durableId="948585193">
    <w:abstractNumId w:val="15"/>
  </w:num>
  <w:num w:numId="15" w16cid:durableId="718482766">
    <w:abstractNumId w:val="30"/>
  </w:num>
  <w:num w:numId="16" w16cid:durableId="164051272">
    <w:abstractNumId w:val="28"/>
  </w:num>
  <w:num w:numId="17" w16cid:durableId="1450854030">
    <w:abstractNumId w:val="10"/>
  </w:num>
  <w:num w:numId="18" w16cid:durableId="373359476">
    <w:abstractNumId w:val="39"/>
  </w:num>
  <w:num w:numId="19" w16cid:durableId="1009412161">
    <w:abstractNumId w:val="16"/>
  </w:num>
  <w:num w:numId="20" w16cid:durableId="2041280933">
    <w:abstractNumId w:val="11"/>
  </w:num>
  <w:num w:numId="21" w16cid:durableId="471220593">
    <w:abstractNumId w:val="32"/>
  </w:num>
  <w:num w:numId="22" w16cid:durableId="1031035851">
    <w:abstractNumId w:val="12"/>
  </w:num>
  <w:num w:numId="23" w16cid:durableId="1402945545">
    <w:abstractNumId w:val="34"/>
  </w:num>
  <w:num w:numId="24" w16cid:durableId="1667248783">
    <w:abstractNumId w:val="17"/>
  </w:num>
  <w:num w:numId="25" w16cid:durableId="1353453069">
    <w:abstractNumId w:val="24"/>
  </w:num>
  <w:num w:numId="26" w16cid:durableId="592667723">
    <w:abstractNumId w:val="14"/>
  </w:num>
  <w:num w:numId="27" w16cid:durableId="37707020">
    <w:abstractNumId w:val="35"/>
  </w:num>
  <w:num w:numId="28" w16cid:durableId="162087179">
    <w:abstractNumId w:val="9"/>
  </w:num>
  <w:num w:numId="29" w16cid:durableId="1955359617">
    <w:abstractNumId w:val="8"/>
  </w:num>
  <w:num w:numId="30" w16cid:durableId="2025740696">
    <w:abstractNumId w:val="7"/>
  </w:num>
  <w:num w:numId="31" w16cid:durableId="439375354">
    <w:abstractNumId w:val="6"/>
  </w:num>
  <w:num w:numId="32" w16cid:durableId="2034837902">
    <w:abstractNumId w:val="5"/>
  </w:num>
  <w:num w:numId="33" w16cid:durableId="765544091">
    <w:abstractNumId w:val="4"/>
  </w:num>
  <w:num w:numId="34" w16cid:durableId="1249462447">
    <w:abstractNumId w:val="3"/>
  </w:num>
  <w:num w:numId="35" w16cid:durableId="790055611">
    <w:abstractNumId w:val="2"/>
  </w:num>
  <w:num w:numId="36" w16cid:durableId="913585048">
    <w:abstractNumId w:val="1"/>
  </w:num>
  <w:num w:numId="37" w16cid:durableId="1728189480">
    <w:abstractNumId w:val="0"/>
  </w:num>
  <w:num w:numId="38" w16cid:durableId="1370304610">
    <w:abstractNumId w:val="37"/>
  </w:num>
  <w:num w:numId="39" w16cid:durableId="1152941978">
    <w:abstractNumId w:val="22"/>
  </w:num>
  <w:num w:numId="40" w16cid:durableId="2006741231">
    <w:abstractNumId w:val="25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trackRevisions w:val="false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B71"/>
    <w:rsid w:val="000117D4"/>
    <w:rsid w:val="00011B33"/>
    <w:rsid w:val="00025250"/>
    <w:rsid w:val="000314D7"/>
    <w:rsid w:val="00034054"/>
    <w:rsid w:val="00045F8B"/>
    <w:rsid w:val="00046D2B"/>
    <w:rsid w:val="00056263"/>
    <w:rsid w:val="00064D8A"/>
    <w:rsid w:val="00064F82"/>
    <w:rsid w:val="00066510"/>
    <w:rsid w:val="000763FC"/>
    <w:rsid w:val="00077523"/>
    <w:rsid w:val="000956EF"/>
    <w:rsid w:val="000B1DFC"/>
    <w:rsid w:val="000C089F"/>
    <w:rsid w:val="000C3928"/>
    <w:rsid w:val="000C5E8E"/>
    <w:rsid w:val="000F4751"/>
    <w:rsid w:val="000F73E9"/>
    <w:rsid w:val="0010524C"/>
    <w:rsid w:val="00111FB1"/>
    <w:rsid w:val="00113418"/>
    <w:rsid w:val="001356F1"/>
    <w:rsid w:val="00136994"/>
    <w:rsid w:val="0014128E"/>
    <w:rsid w:val="00150E61"/>
    <w:rsid w:val="00151888"/>
    <w:rsid w:val="00154095"/>
    <w:rsid w:val="00164B2C"/>
    <w:rsid w:val="00170A2D"/>
    <w:rsid w:val="001808BC"/>
    <w:rsid w:val="00182B81"/>
    <w:rsid w:val="0018619D"/>
    <w:rsid w:val="001A011E"/>
    <w:rsid w:val="001A066A"/>
    <w:rsid w:val="001A13E6"/>
    <w:rsid w:val="001A3465"/>
    <w:rsid w:val="001A5731"/>
    <w:rsid w:val="001A62A4"/>
    <w:rsid w:val="001B42C3"/>
    <w:rsid w:val="001C5D5E"/>
    <w:rsid w:val="001D678D"/>
    <w:rsid w:val="001E03F8"/>
    <w:rsid w:val="001E1678"/>
    <w:rsid w:val="001E3376"/>
    <w:rsid w:val="002069B3"/>
    <w:rsid w:val="002312EA"/>
    <w:rsid w:val="002329CF"/>
    <w:rsid w:val="00232F5B"/>
    <w:rsid w:val="0024539C"/>
    <w:rsid w:val="00247C29"/>
    <w:rsid w:val="00260467"/>
    <w:rsid w:val="00263EA3"/>
    <w:rsid w:val="0027749B"/>
    <w:rsid w:val="00284F85"/>
    <w:rsid w:val="002870C3"/>
    <w:rsid w:val="00290915"/>
    <w:rsid w:val="002A22E2"/>
    <w:rsid w:val="002B6836"/>
    <w:rsid w:val="002C64F7"/>
    <w:rsid w:val="002E6E07"/>
    <w:rsid w:val="002F41F2"/>
    <w:rsid w:val="00301BF3"/>
    <w:rsid w:val="0030208D"/>
    <w:rsid w:val="00323418"/>
    <w:rsid w:val="0032743A"/>
    <w:rsid w:val="003342DD"/>
    <w:rsid w:val="003357BF"/>
    <w:rsid w:val="00364FAD"/>
    <w:rsid w:val="0036738F"/>
    <w:rsid w:val="0036759C"/>
    <w:rsid w:val="00367AE5"/>
    <w:rsid w:val="00367D71"/>
    <w:rsid w:val="00371F1D"/>
    <w:rsid w:val="0038150A"/>
    <w:rsid w:val="003B3EFB"/>
    <w:rsid w:val="003B6E75"/>
    <w:rsid w:val="003B7DA1"/>
    <w:rsid w:val="003D0379"/>
    <w:rsid w:val="003D2574"/>
    <w:rsid w:val="003D4C59"/>
    <w:rsid w:val="003F331F"/>
    <w:rsid w:val="003F4267"/>
    <w:rsid w:val="00404032"/>
    <w:rsid w:val="0040736F"/>
    <w:rsid w:val="00412C1F"/>
    <w:rsid w:val="00421CB2"/>
    <w:rsid w:val="004268B9"/>
    <w:rsid w:val="00433B96"/>
    <w:rsid w:val="004440F1"/>
    <w:rsid w:val="004456DD"/>
    <w:rsid w:val="00446CDF"/>
    <w:rsid w:val="004521B7"/>
    <w:rsid w:val="004548E0"/>
    <w:rsid w:val="00462AB5"/>
    <w:rsid w:val="00462D22"/>
    <w:rsid w:val="00465EAF"/>
    <w:rsid w:val="004738C5"/>
    <w:rsid w:val="0047737B"/>
    <w:rsid w:val="00491046"/>
    <w:rsid w:val="00496078"/>
    <w:rsid w:val="004A2AC7"/>
    <w:rsid w:val="004A6D2F"/>
    <w:rsid w:val="004B11AE"/>
    <w:rsid w:val="004C2887"/>
    <w:rsid w:val="004D2626"/>
    <w:rsid w:val="004D6E26"/>
    <w:rsid w:val="004D77D3"/>
    <w:rsid w:val="004E2959"/>
    <w:rsid w:val="004F20EF"/>
    <w:rsid w:val="0050321C"/>
    <w:rsid w:val="00507ECC"/>
    <w:rsid w:val="0054712D"/>
    <w:rsid w:val="00547EF6"/>
    <w:rsid w:val="005570B5"/>
    <w:rsid w:val="00567E18"/>
    <w:rsid w:val="00575F5F"/>
    <w:rsid w:val="00581805"/>
    <w:rsid w:val="00585F76"/>
    <w:rsid w:val="005A34E4"/>
    <w:rsid w:val="005A6610"/>
    <w:rsid w:val="005B17F2"/>
    <w:rsid w:val="005B7FB0"/>
    <w:rsid w:val="005C35A5"/>
    <w:rsid w:val="005C577C"/>
    <w:rsid w:val="005D0621"/>
    <w:rsid w:val="005D0920"/>
    <w:rsid w:val="005D1E27"/>
    <w:rsid w:val="005D2A3E"/>
    <w:rsid w:val="005E022E"/>
    <w:rsid w:val="005E5215"/>
    <w:rsid w:val="005F7F7E"/>
    <w:rsid w:val="006115DA"/>
    <w:rsid w:val="00614693"/>
    <w:rsid w:val="00623C2F"/>
    <w:rsid w:val="00633578"/>
    <w:rsid w:val="00636B97"/>
    <w:rsid w:val="00637068"/>
    <w:rsid w:val="00650811"/>
    <w:rsid w:val="00655339"/>
    <w:rsid w:val="00661D3E"/>
    <w:rsid w:val="00692627"/>
    <w:rsid w:val="006969E7"/>
    <w:rsid w:val="006A3643"/>
    <w:rsid w:val="006B10C2"/>
    <w:rsid w:val="006C2A29"/>
    <w:rsid w:val="006C5844"/>
    <w:rsid w:val="006C64CF"/>
    <w:rsid w:val="006D17B1"/>
    <w:rsid w:val="006D4752"/>
    <w:rsid w:val="006D708A"/>
    <w:rsid w:val="006E14C1"/>
    <w:rsid w:val="006F0292"/>
    <w:rsid w:val="006F27FA"/>
    <w:rsid w:val="006F416B"/>
    <w:rsid w:val="006F519B"/>
    <w:rsid w:val="00703A10"/>
    <w:rsid w:val="00713675"/>
    <w:rsid w:val="00715823"/>
    <w:rsid w:val="00717AA6"/>
    <w:rsid w:val="0072449C"/>
    <w:rsid w:val="007253EF"/>
    <w:rsid w:val="00737B93"/>
    <w:rsid w:val="00745BF0"/>
    <w:rsid w:val="00751EA3"/>
    <w:rsid w:val="007615FE"/>
    <w:rsid w:val="0076655C"/>
    <w:rsid w:val="007742DC"/>
    <w:rsid w:val="0079052D"/>
    <w:rsid w:val="00791437"/>
    <w:rsid w:val="007B0C2C"/>
    <w:rsid w:val="007B278E"/>
    <w:rsid w:val="007B5CA2"/>
    <w:rsid w:val="007C5C23"/>
    <w:rsid w:val="007E2A26"/>
    <w:rsid w:val="007E4F2A"/>
    <w:rsid w:val="007F2348"/>
    <w:rsid w:val="007F4757"/>
    <w:rsid w:val="00803F07"/>
    <w:rsid w:val="0080749A"/>
    <w:rsid w:val="00810B9D"/>
    <w:rsid w:val="00821FB8"/>
    <w:rsid w:val="00822ACD"/>
    <w:rsid w:val="00855C66"/>
    <w:rsid w:val="00862092"/>
    <w:rsid w:val="00871EE4"/>
    <w:rsid w:val="008954DF"/>
    <w:rsid w:val="008A7F93"/>
    <w:rsid w:val="008B1416"/>
    <w:rsid w:val="008B293F"/>
    <w:rsid w:val="008B7371"/>
    <w:rsid w:val="008D3DDB"/>
    <w:rsid w:val="008F3B04"/>
    <w:rsid w:val="008F573F"/>
    <w:rsid w:val="009034EC"/>
    <w:rsid w:val="0093067A"/>
    <w:rsid w:val="00941C60"/>
    <w:rsid w:val="00941FD1"/>
    <w:rsid w:val="00950824"/>
    <w:rsid w:val="00951F38"/>
    <w:rsid w:val="0095996F"/>
    <w:rsid w:val="00966D42"/>
    <w:rsid w:val="00971689"/>
    <w:rsid w:val="0097170F"/>
    <w:rsid w:val="00973E90"/>
    <w:rsid w:val="00975B07"/>
    <w:rsid w:val="00976609"/>
    <w:rsid w:val="00980B4A"/>
    <w:rsid w:val="009A5D9A"/>
    <w:rsid w:val="009B3E8A"/>
    <w:rsid w:val="009E30E2"/>
    <w:rsid w:val="009E3D0A"/>
    <w:rsid w:val="009E51FC"/>
    <w:rsid w:val="009F1D28"/>
    <w:rsid w:val="009F7618"/>
    <w:rsid w:val="00A04D23"/>
    <w:rsid w:val="00A06766"/>
    <w:rsid w:val="00A13765"/>
    <w:rsid w:val="00A21B12"/>
    <w:rsid w:val="00A23F80"/>
    <w:rsid w:val="00A46E98"/>
    <w:rsid w:val="00A6352B"/>
    <w:rsid w:val="00A701B5"/>
    <w:rsid w:val="00A714BB"/>
    <w:rsid w:val="00A77147"/>
    <w:rsid w:val="00A92D8F"/>
    <w:rsid w:val="00AB2988"/>
    <w:rsid w:val="00AB7999"/>
    <w:rsid w:val="00AD3292"/>
    <w:rsid w:val="00AE1684"/>
    <w:rsid w:val="00AE7AF0"/>
    <w:rsid w:val="00B500CA"/>
    <w:rsid w:val="00B86314"/>
    <w:rsid w:val="00BA1C2E"/>
    <w:rsid w:val="00BC200B"/>
    <w:rsid w:val="00BC4756"/>
    <w:rsid w:val="00BC69A4"/>
    <w:rsid w:val="00BD3F18"/>
    <w:rsid w:val="00BD6181"/>
    <w:rsid w:val="00BE0680"/>
    <w:rsid w:val="00BE305F"/>
    <w:rsid w:val="00BE7BA3"/>
    <w:rsid w:val="00BF5682"/>
    <w:rsid w:val="00BF7B09"/>
    <w:rsid w:val="00C05260"/>
    <w:rsid w:val="00C076B9"/>
    <w:rsid w:val="00C1071D"/>
    <w:rsid w:val="00C20A95"/>
    <w:rsid w:val="00C2692F"/>
    <w:rsid w:val="00C31C48"/>
    <w:rsid w:val="00C3207C"/>
    <w:rsid w:val="00C400E1"/>
    <w:rsid w:val="00C41187"/>
    <w:rsid w:val="00C63C31"/>
    <w:rsid w:val="00C757A0"/>
    <w:rsid w:val="00C760DE"/>
    <w:rsid w:val="00C82630"/>
    <w:rsid w:val="00C85B4E"/>
    <w:rsid w:val="00C907F7"/>
    <w:rsid w:val="00CA2103"/>
    <w:rsid w:val="00CB21E8"/>
    <w:rsid w:val="00CB6B99"/>
    <w:rsid w:val="00CE4C87"/>
    <w:rsid w:val="00CE544A"/>
    <w:rsid w:val="00D044E4"/>
    <w:rsid w:val="00D11E1C"/>
    <w:rsid w:val="00D160B0"/>
    <w:rsid w:val="00D17F94"/>
    <w:rsid w:val="00D223FC"/>
    <w:rsid w:val="00D26D1E"/>
    <w:rsid w:val="00D474CF"/>
    <w:rsid w:val="00D5547E"/>
    <w:rsid w:val="00D67DDA"/>
    <w:rsid w:val="00D860E2"/>
    <w:rsid w:val="00D869A1"/>
    <w:rsid w:val="00DA413F"/>
    <w:rsid w:val="00DA4584"/>
    <w:rsid w:val="00DA614B"/>
    <w:rsid w:val="00DB54C3"/>
    <w:rsid w:val="00DB7AD7"/>
    <w:rsid w:val="00DC3060"/>
    <w:rsid w:val="00DD248B"/>
    <w:rsid w:val="00DE0FB2"/>
    <w:rsid w:val="00DF093E"/>
    <w:rsid w:val="00E01F42"/>
    <w:rsid w:val="00E206D6"/>
    <w:rsid w:val="00E3366E"/>
    <w:rsid w:val="00E52086"/>
    <w:rsid w:val="00E543A6"/>
    <w:rsid w:val="00E60479"/>
    <w:rsid w:val="00E61D73"/>
    <w:rsid w:val="00E73684"/>
    <w:rsid w:val="00E818D6"/>
    <w:rsid w:val="00E87F7A"/>
    <w:rsid w:val="00E94B3E"/>
    <w:rsid w:val="00E96BD7"/>
    <w:rsid w:val="00EA0DB1"/>
    <w:rsid w:val="00EA0EE9"/>
    <w:rsid w:val="00EA7068"/>
    <w:rsid w:val="00ED52CA"/>
    <w:rsid w:val="00ED5860"/>
    <w:rsid w:val="00EE35C9"/>
    <w:rsid w:val="00F05ECA"/>
    <w:rsid w:val="00F26E21"/>
    <w:rsid w:val="00F3566E"/>
    <w:rsid w:val="00F375FB"/>
    <w:rsid w:val="00F41AC1"/>
    <w:rsid w:val="00F4367A"/>
    <w:rsid w:val="00F445B1"/>
    <w:rsid w:val="00F45CD4"/>
    <w:rsid w:val="00F66DCA"/>
    <w:rsid w:val="00F74F53"/>
    <w:rsid w:val="00F7606D"/>
    <w:rsid w:val="00F81670"/>
    <w:rsid w:val="00F82024"/>
    <w:rsid w:val="00F857E2"/>
    <w:rsid w:val="00F865A3"/>
    <w:rsid w:val="00F95BC9"/>
    <w:rsid w:val="00FA24E4"/>
    <w:rsid w:val="00FA624C"/>
    <w:rsid w:val="00FB3B71"/>
    <w:rsid w:val="00FD0FAC"/>
    <w:rsid w:val="00FD1DFA"/>
    <w:rsid w:val="00FD4966"/>
    <w:rsid w:val="00FE57DC"/>
    <w:rsid w:val="00FF095A"/>
    <w:rsid w:val="01563FFD"/>
    <w:rsid w:val="01FC6B70"/>
    <w:rsid w:val="02022B4B"/>
    <w:rsid w:val="0251DC82"/>
    <w:rsid w:val="02816F6F"/>
    <w:rsid w:val="028263F2"/>
    <w:rsid w:val="02C8780C"/>
    <w:rsid w:val="032F45AE"/>
    <w:rsid w:val="03A51F8E"/>
    <w:rsid w:val="03CDA3E0"/>
    <w:rsid w:val="03CE3230"/>
    <w:rsid w:val="0429F9C7"/>
    <w:rsid w:val="04B2BFD1"/>
    <w:rsid w:val="04C3F2D9"/>
    <w:rsid w:val="04D94572"/>
    <w:rsid w:val="05885075"/>
    <w:rsid w:val="05954F44"/>
    <w:rsid w:val="05A57719"/>
    <w:rsid w:val="05B94C3D"/>
    <w:rsid w:val="05CAC612"/>
    <w:rsid w:val="05CF894E"/>
    <w:rsid w:val="05FC340A"/>
    <w:rsid w:val="0628675A"/>
    <w:rsid w:val="06378D04"/>
    <w:rsid w:val="06850A71"/>
    <w:rsid w:val="06C9B08E"/>
    <w:rsid w:val="06DAB40F"/>
    <w:rsid w:val="06E38B77"/>
    <w:rsid w:val="06EA2B73"/>
    <w:rsid w:val="06EA66D2"/>
    <w:rsid w:val="070E7EC3"/>
    <w:rsid w:val="073E7E59"/>
    <w:rsid w:val="074C4931"/>
    <w:rsid w:val="0796F7F9"/>
    <w:rsid w:val="07D434D5"/>
    <w:rsid w:val="07E8B8D0"/>
    <w:rsid w:val="07EDD74E"/>
    <w:rsid w:val="081663A9"/>
    <w:rsid w:val="081D2E30"/>
    <w:rsid w:val="083D671B"/>
    <w:rsid w:val="08798C3C"/>
    <w:rsid w:val="096E57B8"/>
    <w:rsid w:val="097A601A"/>
    <w:rsid w:val="098A2D97"/>
    <w:rsid w:val="09A8F510"/>
    <w:rsid w:val="09B8FB19"/>
    <w:rsid w:val="09C4FA57"/>
    <w:rsid w:val="09E1D66C"/>
    <w:rsid w:val="09FB7877"/>
    <w:rsid w:val="09FEFC55"/>
    <w:rsid w:val="0A26259B"/>
    <w:rsid w:val="0A6ABFE8"/>
    <w:rsid w:val="0AB39159"/>
    <w:rsid w:val="0AEAD29A"/>
    <w:rsid w:val="0B0F9560"/>
    <w:rsid w:val="0B197D58"/>
    <w:rsid w:val="0B263A73"/>
    <w:rsid w:val="0B2F029B"/>
    <w:rsid w:val="0B478F4A"/>
    <w:rsid w:val="0B4C824D"/>
    <w:rsid w:val="0B6D7A6F"/>
    <w:rsid w:val="0B89A7FD"/>
    <w:rsid w:val="0BC35537"/>
    <w:rsid w:val="0BD511B2"/>
    <w:rsid w:val="0BFEC37B"/>
    <w:rsid w:val="0C47CB50"/>
    <w:rsid w:val="0C4862C3"/>
    <w:rsid w:val="0C7B01D2"/>
    <w:rsid w:val="0CA72B97"/>
    <w:rsid w:val="0CD5336C"/>
    <w:rsid w:val="0CEC12C2"/>
    <w:rsid w:val="0CF585D3"/>
    <w:rsid w:val="0CF6BECA"/>
    <w:rsid w:val="0D06F575"/>
    <w:rsid w:val="0D23AAE0"/>
    <w:rsid w:val="0D35B890"/>
    <w:rsid w:val="0D485341"/>
    <w:rsid w:val="0D48D4D7"/>
    <w:rsid w:val="0D5BE810"/>
    <w:rsid w:val="0D912CB7"/>
    <w:rsid w:val="0DBE7487"/>
    <w:rsid w:val="0DC04CCC"/>
    <w:rsid w:val="0DCE71E3"/>
    <w:rsid w:val="0DCFC4A0"/>
    <w:rsid w:val="0DDC44DF"/>
    <w:rsid w:val="0DEB763C"/>
    <w:rsid w:val="0DF88AC8"/>
    <w:rsid w:val="0E137018"/>
    <w:rsid w:val="0E34339B"/>
    <w:rsid w:val="0E41C70B"/>
    <w:rsid w:val="0E9E838F"/>
    <w:rsid w:val="0EAA5847"/>
    <w:rsid w:val="0EAB03AD"/>
    <w:rsid w:val="0EBDD360"/>
    <w:rsid w:val="0ECD8498"/>
    <w:rsid w:val="0EF7FB1F"/>
    <w:rsid w:val="0F0E75F1"/>
    <w:rsid w:val="0F61D9B4"/>
    <w:rsid w:val="0F6E99E1"/>
    <w:rsid w:val="0FA6AC87"/>
    <w:rsid w:val="0FA99C9C"/>
    <w:rsid w:val="0FB9297F"/>
    <w:rsid w:val="0FD27BAC"/>
    <w:rsid w:val="0FD6755C"/>
    <w:rsid w:val="0FE01AA5"/>
    <w:rsid w:val="0FE21D67"/>
    <w:rsid w:val="0FF749F3"/>
    <w:rsid w:val="102DB7AF"/>
    <w:rsid w:val="1095AE70"/>
    <w:rsid w:val="10D95605"/>
    <w:rsid w:val="111CD54F"/>
    <w:rsid w:val="11542FCF"/>
    <w:rsid w:val="115B7C4B"/>
    <w:rsid w:val="11B85938"/>
    <w:rsid w:val="11DE2519"/>
    <w:rsid w:val="11E7DCCA"/>
    <w:rsid w:val="1205D04E"/>
    <w:rsid w:val="1205DCDB"/>
    <w:rsid w:val="1228F372"/>
    <w:rsid w:val="1233E171"/>
    <w:rsid w:val="12398295"/>
    <w:rsid w:val="125C64D0"/>
    <w:rsid w:val="1294AD37"/>
    <w:rsid w:val="1299A5FD"/>
    <w:rsid w:val="12E9C5B6"/>
    <w:rsid w:val="1322637B"/>
    <w:rsid w:val="133E7109"/>
    <w:rsid w:val="136F758E"/>
    <w:rsid w:val="13899C5C"/>
    <w:rsid w:val="142E4B02"/>
    <w:rsid w:val="14700838"/>
    <w:rsid w:val="14778501"/>
    <w:rsid w:val="147EF7C6"/>
    <w:rsid w:val="1480919C"/>
    <w:rsid w:val="14B466E4"/>
    <w:rsid w:val="14FDE37A"/>
    <w:rsid w:val="1507E461"/>
    <w:rsid w:val="150CE1B6"/>
    <w:rsid w:val="150E6135"/>
    <w:rsid w:val="154B9377"/>
    <w:rsid w:val="15574A9F"/>
    <w:rsid w:val="15770594"/>
    <w:rsid w:val="158809F2"/>
    <w:rsid w:val="158DAAD4"/>
    <w:rsid w:val="15E9A4A2"/>
    <w:rsid w:val="16277D24"/>
    <w:rsid w:val="163561FB"/>
    <w:rsid w:val="16538EA9"/>
    <w:rsid w:val="16856DB6"/>
    <w:rsid w:val="1692A2F9"/>
    <w:rsid w:val="16A843BE"/>
    <w:rsid w:val="16C788FA"/>
    <w:rsid w:val="17196061"/>
    <w:rsid w:val="171ED553"/>
    <w:rsid w:val="172BE0CE"/>
    <w:rsid w:val="1799CC3F"/>
    <w:rsid w:val="17A3DBF4"/>
    <w:rsid w:val="17B47119"/>
    <w:rsid w:val="17D9F221"/>
    <w:rsid w:val="1815B173"/>
    <w:rsid w:val="183067A6"/>
    <w:rsid w:val="187CEEE6"/>
    <w:rsid w:val="189F365A"/>
    <w:rsid w:val="18B12936"/>
    <w:rsid w:val="18FDD1DA"/>
    <w:rsid w:val="1901E707"/>
    <w:rsid w:val="193C40A8"/>
    <w:rsid w:val="1961D560"/>
    <w:rsid w:val="1996CD4F"/>
    <w:rsid w:val="19EAE7D9"/>
    <w:rsid w:val="1A58D95B"/>
    <w:rsid w:val="1AADFA62"/>
    <w:rsid w:val="1AB660F4"/>
    <w:rsid w:val="1AD208E4"/>
    <w:rsid w:val="1B32D3D5"/>
    <w:rsid w:val="1B392804"/>
    <w:rsid w:val="1B3BEBA9"/>
    <w:rsid w:val="1B43FD1A"/>
    <w:rsid w:val="1B6F3FBD"/>
    <w:rsid w:val="1B7CE77E"/>
    <w:rsid w:val="1B9C07C2"/>
    <w:rsid w:val="1BBF0E21"/>
    <w:rsid w:val="1BC0B843"/>
    <w:rsid w:val="1BDE6ACD"/>
    <w:rsid w:val="1C5DE897"/>
    <w:rsid w:val="1C62DB68"/>
    <w:rsid w:val="1C7DB420"/>
    <w:rsid w:val="1C809C3E"/>
    <w:rsid w:val="1C8C3614"/>
    <w:rsid w:val="1C9759D8"/>
    <w:rsid w:val="1C9E2DAA"/>
    <w:rsid w:val="1CE30D9B"/>
    <w:rsid w:val="1CE3F360"/>
    <w:rsid w:val="1D28A885"/>
    <w:rsid w:val="1D358DE7"/>
    <w:rsid w:val="1D534DD0"/>
    <w:rsid w:val="1D65335D"/>
    <w:rsid w:val="1DBCF729"/>
    <w:rsid w:val="1DC01ABD"/>
    <w:rsid w:val="1DC7EAF4"/>
    <w:rsid w:val="1DD752BB"/>
    <w:rsid w:val="1DD871B4"/>
    <w:rsid w:val="1DEECAAB"/>
    <w:rsid w:val="1E087995"/>
    <w:rsid w:val="1E2AA5CE"/>
    <w:rsid w:val="1EB596DF"/>
    <w:rsid w:val="1ECEC5E9"/>
    <w:rsid w:val="1EDF3920"/>
    <w:rsid w:val="1F052D28"/>
    <w:rsid w:val="1F3623EA"/>
    <w:rsid w:val="1F38C5F8"/>
    <w:rsid w:val="1F59DFEE"/>
    <w:rsid w:val="1F99B42F"/>
    <w:rsid w:val="1FC026B3"/>
    <w:rsid w:val="202C50AB"/>
    <w:rsid w:val="20A63B08"/>
    <w:rsid w:val="20AB9495"/>
    <w:rsid w:val="20B227B0"/>
    <w:rsid w:val="20BF9EF1"/>
    <w:rsid w:val="20DC507B"/>
    <w:rsid w:val="20F72725"/>
    <w:rsid w:val="210DD61C"/>
    <w:rsid w:val="2112E60B"/>
    <w:rsid w:val="21191AE6"/>
    <w:rsid w:val="21521404"/>
    <w:rsid w:val="21E30B1E"/>
    <w:rsid w:val="225A36E2"/>
    <w:rsid w:val="2270F751"/>
    <w:rsid w:val="228CCFBD"/>
    <w:rsid w:val="22B009C6"/>
    <w:rsid w:val="22D97903"/>
    <w:rsid w:val="22F0553C"/>
    <w:rsid w:val="2344F22D"/>
    <w:rsid w:val="238A6E87"/>
    <w:rsid w:val="238F4E9F"/>
    <w:rsid w:val="239B05C9"/>
    <w:rsid w:val="2458FCC0"/>
    <w:rsid w:val="246FAA62"/>
    <w:rsid w:val="24A1799E"/>
    <w:rsid w:val="24AA93AA"/>
    <w:rsid w:val="24B265C5"/>
    <w:rsid w:val="24D1D247"/>
    <w:rsid w:val="25186139"/>
    <w:rsid w:val="2560DC3D"/>
    <w:rsid w:val="2581F672"/>
    <w:rsid w:val="25BF9634"/>
    <w:rsid w:val="25C8DF4C"/>
    <w:rsid w:val="25FF3BD6"/>
    <w:rsid w:val="261BAF39"/>
    <w:rsid w:val="262BAA2F"/>
    <w:rsid w:val="26D178CA"/>
    <w:rsid w:val="270461EC"/>
    <w:rsid w:val="27395084"/>
    <w:rsid w:val="27443FDE"/>
    <w:rsid w:val="2759C046"/>
    <w:rsid w:val="2760C4C6"/>
    <w:rsid w:val="278ACBEA"/>
    <w:rsid w:val="278BFF78"/>
    <w:rsid w:val="27B174FA"/>
    <w:rsid w:val="281601C5"/>
    <w:rsid w:val="282C914F"/>
    <w:rsid w:val="282DFB14"/>
    <w:rsid w:val="2843FA61"/>
    <w:rsid w:val="284ADAB0"/>
    <w:rsid w:val="28588B88"/>
    <w:rsid w:val="286FC0AB"/>
    <w:rsid w:val="2875A525"/>
    <w:rsid w:val="287E73A1"/>
    <w:rsid w:val="288F0001"/>
    <w:rsid w:val="28B20049"/>
    <w:rsid w:val="28B7A8BF"/>
    <w:rsid w:val="28BB5802"/>
    <w:rsid w:val="28BD9C88"/>
    <w:rsid w:val="29379317"/>
    <w:rsid w:val="29894939"/>
    <w:rsid w:val="29EA5565"/>
    <w:rsid w:val="2A03DCBD"/>
    <w:rsid w:val="2A08009B"/>
    <w:rsid w:val="2A12577D"/>
    <w:rsid w:val="2A81F3C7"/>
    <w:rsid w:val="2AB5F71A"/>
    <w:rsid w:val="2ADBCB30"/>
    <w:rsid w:val="2B209BC2"/>
    <w:rsid w:val="2B21C3D9"/>
    <w:rsid w:val="2B2226F5"/>
    <w:rsid w:val="2B27A8C7"/>
    <w:rsid w:val="2B689750"/>
    <w:rsid w:val="2BA694D4"/>
    <w:rsid w:val="2C0E05A0"/>
    <w:rsid w:val="2C4723B4"/>
    <w:rsid w:val="2C74AB1E"/>
    <w:rsid w:val="2D27F5A3"/>
    <w:rsid w:val="2DC2B855"/>
    <w:rsid w:val="2DD9BFE1"/>
    <w:rsid w:val="2DE0789D"/>
    <w:rsid w:val="2DF3F45B"/>
    <w:rsid w:val="2E03AA1E"/>
    <w:rsid w:val="2E180EEE"/>
    <w:rsid w:val="2E308086"/>
    <w:rsid w:val="2E662FCE"/>
    <w:rsid w:val="2E795236"/>
    <w:rsid w:val="2E7FA692"/>
    <w:rsid w:val="2E99C24F"/>
    <w:rsid w:val="2F156455"/>
    <w:rsid w:val="2F19DBE5"/>
    <w:rsid w:val="2F1B55A2"/>
    <w:rsid w:val="2F422DFF"/>
    <w:rsid w:val="2F5C7CF1"/>
    <w:rsid w:val="2F95ADAB"/>
    <w:rsid w:val="2F99AB8A"/>
    <w:rsid w:val="2FA32296"/>
    <w:rsid w:val="2FA419B9"/>
    <w:rsid w:val="3030FEBC"/>
    <w:rsid w:val="308D641F"/>
    <w:rsid w:val="3092450A"/>
    <w:rsid w:val="30B61F45"/>
    <w:rsid w:val="30C8D452"/>
    <w:rsid w:val="30D8A289"/>
    <w:rsid w:val="30D91E83"/>
    <w:rsid w:val="30F8714B"/>
    <w:rsid w:val="311D2219"/>
    <w:rsid w:val="31339F41"/>
    <w:rsid w:val="31491AA8"/>
    <w:rsid w:val="314D504B"/>
    <w:rsid w:val="315CE25D"/>
    <w:rsid w:val="31A455F7"/>
    <w:rsid w:val="31E79E65"/>
    <w:rsid w:val="31F9E402"/>
    <w:rsid w:val="3228359A"/>
    <w:rsid w:val="3250409D"/>
    <w:rsid w:val="3268119C"/>
    <w:rsid w:val="32748D40"/>
    <w:rsid w:val="3294F9CB"/>
    <w:rsid w:val="329EBB87"/>
    <w:rsid w:val="32D1DED7"/>
    <w:rsid w:val="32EC2FAB"/>
    <w:rsid w:val="32F45366"/>
    <w:rsid w:val="3323D874"/>
    <w:rsid w:val="33554E18"/>
    <w:rsid w:val="336048BF"/>
    <w:rsid w:val="33C6E533"/>
    <w:rsid w:val="33C8C2FF"/>
    <w:rsid w:val="34166C96"/>
    <w:rsid w:val="34170F19"/>
    <w:rsid w:val="3471659C"/>
    <w:rsid w:val="34C5ADE6"/>
    <w:rsid w:val="34DDB471"/>
    <w:rsid w:val="34E688BD"/>
    <w:rsid w:val="34ECE2A5"/>
    <w:rsid w:val="3538471C"/>
    <w:rsid w:val="353ADB93"/>
    <w:rsid w:val="3540AA86"/>
    <w:rsid w:val="35B9C22F"/>
    <w:rsid w:val="35E68B5F"/>
    <w:rsid w:val="35E9D60A"/>
    <w:rsid w:val="3667A590"/>
    <w:rsid w:val="3682B56C"/>
    <w:rsid w:val="370BAA0D"/>
    <w:rsid w:val="371B2269"/>
    <w:rsid w:val="3725E915"/>
    <w:rsid w:val="3742E73C"/>
    <w:rsid w:val="37801482"/>
    <w:rsid w:val="37CF1743"/>
    <w:rsid w:val="37EE1BC2"/>
    <w:rsid w:val="37F183F0"/>
    <w:rsid w:val="38439122"/>
    <w:rsid w:val="384E083B"/>
    <w:rsid w:val="387FA58A"/>
    <w:rsid w:val="388E8389"/>
    <w:rsid w:val="389D3FB8"/>
    <w:rsid w:val="38C4BD77"/>
    <w:rsid w:val="3908F988"/>
    <w:rsid w:val="39924C8C"/>
    <w:rsid w:val="3A028991"/>
    <w:rsid w:val="3A1580BC"/>
    <w:rsid w:val="3A3D24F1"/>
    <w:rsid w:val="3A92E28C"/>
    <w:rsid w:val="3AA8F00C"/>
    <w:rsid w:val="3AF984BB"/>
    <w:rsid w:val="3B0C23CB"/>
    <w:rsid w:val="3B4B37A1"/>
    <w:rsid w:val="3B5CC72B"/>
    <w:rsid w:val="3B9CCB87"/>
    <w:rsid w:val="3B9D15F9"/>
    <w:rsid w:val="3BA6C544"/>
    <w:rsid w:val="3BB43EC8"/>
    <w:rsid w:val="3C1E7ADC"/>
    <w:rsid w:val="3C39F82C"/>
    <w:rsid w:val="3C457188"/>
    <w:rsid w:val="3C832A25"/>
    <w:rsid w:val="3C9559B9"/>
    <w:rsid w:val="3CA2FFB9"/>
    <w:rsid w:val="3CA69796"/>
    <w:rsid w:val="3CC998AD"/>
    <w:rsid w:val="3CCF8D31"/>
    <w:rsid w:val="3D2BB97A"/>
    <w:rsid w:val="3D4D5B77"/>
    <w:rsid w:val="3D6BD95F"/>
    <w:rsid w:val="3D6EA46C"/>
    <w:rsid w:val="3D75EE1D"/>
    <w:rsid w:val="3DA5A62C"/>
    <w:rsid w:val="3DE9AB62"/>
    <w:rsid w:val="3DFACAE6"/>
    <w:rsid w:val="3E0D2AC7"/>
    <w:rsid w:val="3E32882C"/>
    <w:rsid w:val="3E62CBE2"/>
    <w:rsid w:val="3E78341A"/>
    <w:rsid w:val="3E86170B"/>
    <w:rsid w:val="3ED7AA62"/>
    <w:rsid w:val="3EDBC277"/>
    <w:rsid w:val="3F008221"/>
    <w:rsid w:val="3F2F6568"/>
    <w:rsid w:val="3F4D2B4E"/>
    <w:rsid w:val="3FAFFB00"/>
    <w:rsid w:val="3FC97D53"/>
    <w:rsid w:val="4017ECF6"/>
    <w:rsid w:val="401AF1E5"/>
    <w:rsid w:val="406AFAD8"/>
    <w:rsid w:val="40BDB5A1"/>
    <w:rsid w:val="40C0EB46"/>
    <w:rsid w:val="40C2B143"/>
    <w:rsid w:val="412FBCBC"/>
    <w:rsid w:val="4141192B"/>
    <w:rsid w:val="415172E5"/>
    <w:rsid w:val="4165F553"/>
    <w:rsid w:val="4168AF80"/>
    <w:rsid w:val="41A6F900"/>
    <w:rsid w:val="41C9F603"/>
    <w:rsid w:val="42045092"/>
    <w:rsid w:val="4237C1F3"/>
    <w:rsid w:val="427525F0"/>
    <w:rsid w:val="42AA8521"/>
    <w:rsid w:val="42B93DB0"/>
    <w:rsid w:val="431C3BF6"/>
    <w:rsid w:val="431E9112"/>
    <w:rsid w:val="435D39D8"/>
    <w:rsid w:val="4363A1FA"/>
    <w:rsid w:val="436AFF4C"/>
    <w:rsid w:val="436B137B"/>
    <w:rsid w:val="437C8480"/>
    <w:rsid w:val="4380E5DC"/>
    <w:rsid w:val="4389AF01"/>
    <w:rsid w:val="43CECD94"/>
    <w:rsid w:val="43F42839"/>
    <w:rsid w:val="441CED70"/>
    <w:rsid w:val="442131AB"/>
    <w:rsid w:val="443921EC"/>
    <w:rsid w:val="44B67025"/>
    <w:rsid w:val="44C8151F"/>
    <w:rsid w:val="44F87396"/>
    <w:rsid w:val="45003A96"/>
    <w:rsid w:val="4514D98F"/>
    <w:rsid w:val="452D984A"/>
    <w:rsid w:val="45411621"/>
    <w:rsid w:val="456835DE"/>
    <w:rsid w:val="45715047"/>
    <w:rsid w:val="4576C484"/>
    <w:rsid w:val="4579E916"/>
    <w:rsid w:val="45828F82"/>
    <w:rsid w:val="458EC2EB"/>
    <w:rsid w:val="45A21683"/>
    <w:rsid w:val="45AB8D04"/>
    <w:rsid w:val="45B5E7F6"/>
    <w:rsid w:val="45C958A3"/>
    <w:rsid w:val="45CE96EF"/>
    <w:rsid w:val="46440132"/>
    <w:rsid w:val="46547D63"/>
    <w:rsid w:val="47265693"/>
    <w:rsid w:val="47425EE2"/>
    <w:rsid w:val="4757FAF3"/>
    <w:rsid w:val="479DD304"/>
    <w:rsid w:val="47C80FBF"/>
    <w:rsid w:val="4816B0EA"/>
    <w:rsid w:val="483114D5"/>
    <w:rsid w:val="48663AD1"/>
    <w:rsid w:val="48700563"/>
    <w:rsid w:val="48E14805"/>
    <w:rsid w:val="48EF2B6C"/>
    <w:rsid w:val="497C66E4"/>
    <w:rsid w:val="498D72CD"/>
    <w:rsid w:val="498D7A45"/>
    <w:rsid w:val="49AE13C1"/>
    <w:rsid w:val="4A893B8D"/>
    <w:rsid w:val="4B1845C6"/>
    <w:rsid w:val="4B2A560C"/>
    <w:rsid w:val="4B3DF243"/>
    <w:rsid w:val="4B4F6655"/>
    <w:rsid w:val="4B9D3FE1"/>
    <w:rsid w:val="4BA7B5E8"/>
    <w:rsid w:val="4BD315FD"/>
    <w:rsid w:val="4C4A203B"/>
    <w:rsid w:val="4C65C880"/>
    <w:rsid w:val="4CF9A14B"/>
    <w:rsid w:val="4D114582"/>
    <w:rsid w:val="4DC9FD09"/>
    <w:rsid w:val="4DF06A9C"/>
    <w:rsid w:val="4E07E3C0"/>
    <w:rsid w:val="4E4D8681"/>
    <w:rsid w:val="4E6B977C"/>
    <w:rsid w:val="4ED10275"/>
    <w:rsid w:val="4F81082A"/>
    <w:rsid w:val="4F822FDE"/>
    <w:rsid w:val="4FBDCE0E"/>
    <w:rsid w:val="4FD997A8"/>
    <w:rsid w:val="4FDCB163"/>
    <w:rsid w:val="50263880"/>
    <w:rsid w:val="5031456C"/>
    <w:rsid w:val="503A3FE3"/>
    <w:rsid w:val="5054FA0D"/>
    <w:rsid w:val="506107E8"/>
    <w:rsid w:val="506E2120"/>
    <w:rsid w:val="50A6C9E4"/>
    <w:rsid w:val="50AEF3CC"/>
    <w:rsid w:val="50DA9FB7"/>
    <w:rsid w:val="50F5BCC3"/>
    <w:rsid w:val="50FFC7FD"/>
    <w:rsid w:val="51049B70"/>
    <w:rsid w:val="510A0382"/>
    <w:rsid w:val="51D84F9B"/>
    <w:rsid w:val="52141FE7"/>
    <w:rsid w:val="5224301B"/>
    <w:rsid w:val="523BF386"/>
    <w:rsid w:val="52FCA584"/>
    <w:rsid w:val="530E7F80"/>
    <w:rsid w:val="53124442"/>
    <w:rsid w:val="536DC13F"/>
    <w:rsid w:val="53909E7A"/>
    <w:rsid w:val="53FC84B1"/>
    <w:rsid w:val="543D8D72"/>
    <w:rsid w:val="544C79E0"/>
    <w:rsid w:val="545D6C98"/>
    <w:rsid w:val="54614053"/>
    <w:rsid w:val="549C7775"/>
    <w:rsid w:val="54BD7E5A"/>
    <w:rsid w:val="54CE42CA"/>
    <w:rsid w:val="54D3E522"/>
    <w:rsid w:val="54DB65A3"/>
    <w:rsid w:val="54EFEB76"/>
    <w:rsid w:val="54F191A4"/>
    <w:rsid w:val="54FEAF28"/>
    <w:rsid w:val="553DEEA8"/>
    <w:rsid w:val="554B1D58"/>
    <w:rsid w:val="55AB1BD8"/>
    <w:rsid w:val="55B20C48"/>
    <w:rsid w:val="55D5569F"/>
    <w:rsid w:val="55EC8437"/>
    <w:rsid w:val="562DCFA1"/>
    <w:rsid w:val="56559CAE"/>
    <w:rsid w:val="56FD71B4"/>
    <w:rsid w:val="571C62E4"/>
    <w:rsid w:val="57301308"/>
    <w:rsid w:val="573100BD"/>
    <w:rsid w:val="577F8173"/>
    <w:rsid w:val="5785D881"/>
    <w:rsid w:val="57BA2888"/>
    <w:rsid w:val="57BFA868"/>
    <w:rsid w:val="57CC2271"/>
    <w:rsid w:val="57CF674C"/>
    <w:rsid w:val="57E765E7"/>
    <w:rsid w:val="57E94B2B"/>
    <w:rsid w:val="58140104"/>
    <w:rsid w:val="581DDA31"/>
    <w:rsid w:val="5828EC4B"/>
    <w:rsid w:val="58452790"/>
    <w:rsid w:val="5880F1B7"/>
    <w:rsid w:val="58872242"/>
    <w:rsid w:val="58C16BAB"/>
    <w:rsid w:val="58CE69A2"/>
    <w:rsid w:val="58E7F884"/>
    <w:rsid w:val="58F818E7"/>
    <w:rsid w:val="596D67E2"/>
    <w:rsid w:val="59953643"/>
    <w:rsid w:val="59970958"/>
    <w:rsid w:val="59A12946"/>
    <w:rsid w:val="59B0843A"/>
    <w:rsid w:val="59BBB9BF"/>
    <w:rsid w:val="5A06B279"/>
    <w:rsid w:val="5A851021"/>
    <w:rsid w:val="5AEBAC75"/>
    <w:rsid w:val="5B377E93"/>
    <w:rsid w:val="5B693AE0"/>
    <w:rsid w:val="5B8521B4"/>
    <w:rsid w:val="5BA8177A"/>
    <w:rsid w:val="5BE953C7"/>
    <w:rsid w:val="5C2096C9"/>
    <w:rsid w:val="5C2301F2"/>
    <w:rsid w:val="5C256C2A"/>
    <w:rsid w:val="5CD2A867"/>
    <w:rsid w:val="5D0EC0A9"/>
    <w:rsid w:val="5D6EE46E"/>
    <w:rsid w:val="5DE2FF78"/>
    <w:rsid w:val="5DE62121"/>
    <w:rsid w:val="5DE8FD21"/>
    <w:rsid w:val="5E1C6A1B"/>
    <w:rsid w:val="5E24A6F5"/>
    <w:rsid w:val="5E5377F6"/>
    <w:rsid w:val="5E564D31"/>
    <w:rsid w:val="5E56791E"/>
    <w:rsid w:val="5ECF0BFC"/>
    <w:rsid w:val="5ED18F22"/>
    <w:rsid w:val="5EE24B95"/>
    <w:rsid w:val="5F41EEE1"/>
    <w:rsid w:val="5F532481"/>
    <w:rsid w:val="5F586090"/>
    <w:rsid w:val="5F61B599"/>
    <w:rsid w:val="5F771EBE"/>
    <w:rsid w:val="5FC3B18E"/>
    <w:rsid w:val="5FD00C01"/>
    <w:rsid w:val="6034FA68"/>
    <w:rsid w:val="605A44E7"/>
    <w:rsid w:val="6079FCC4"/>
    <w:rsid w:val="60980C2C"/>
    <w:rsid w:val="60AB9F98"/>
    <w:rsid w:val="60AF4C64"/>
    <w:rsid w:val="60B35EF8"/>
    <w:rsid w:val="60BF26A8"/>
    <w:rsid w:val="60C5AE09"/>
    <w:rsid w:val="60FBB677"/>
    <w:rsid w:val="613D2893"/>
    <w:rsid w:val="61709707"/>
    <w:rsid w:val="61871909"/>
    <w:rsid w:val="618A2304"/>
    <w:rsid w:val="6203F367"/>
    <w:rsid w:val="620480BD"/>
    <w:rsid w:val="62067AE4"/>
    <w:rsid w:val="620DD670"/>
    <w:rsid w:val="62976F87"/>
    <w:rsid w:val="62B73EE3"/>
    <w:rsid w:val="62E6A9BF"/>
    <w:rsid w:val="633D7049"/>
    <w:rsid w:val="636BDC7A"/>
    <w:rsid w:val="6388E05F"/>
    <w:rsid w:val="6389E572"/>
    <w:rsid w:val="63C5C6BE"/>
    <w:rsid w:val="63F212A5"/>
    <w:rsid w:val="64543F9B"/>
    <w:rsid w:val="6495172E"/>
    <w:rsid w:val="64A57DA4"/>
    <w:rsid w:val="64CD9ABC"/>
    <w:rsid w:val="64F48934"/>
    <w:rsid w:val="65110C0F"/>
    <w:rsid w:val="655CDB54"/>
    <w:rsid w:val="656F4F06"/>
    <w:rsid w:val="65D1E769"/>
    <w:rsid w:val="65D45FE4"/>
    <w:rsid w:val="65F90BC5"/>
    <w:rsid w:val="66103325"/>
    <w:rsid w:val="66926F3D"/>
    <w:rsid w:val="66981428"/>
    <w:rsid w:val="66EA1838"/>
    <w:rsid w:val="671E3CB4"/>
    <w:rsid w:val="67285D1B"/>
    <w:rsid w:val="6729B58E"/>
    <w:rsid w:val="67A87947"/>
    <w:rsid w:val="67C77252"/>
    <w:rsid w:val="67CBC037"/>
    <w:rsid w:val="6844F18D"/>
    <w:rsid w:val="68BD198C"/>
    <w:rsid w:val="6900D38B"/>
    <w:rsid w:val="693BDF5F"/>
    <w:rsid w:val="6990D440"/>
    <w:rsid w:val="69AC7D2F"/>
    <w:rsid w:val="69CCEC36"/>
    <w:rsid w:val="6A067894"/>
    <w:rsid w:val="6A492B91"/>
    <w:rsid w:val="6A634653"/>
    <w:rsid w:val="6A8E68E0"/>
    <w:rsid w:val="6AA28220"/>
    <w:rsid w:val="6B0C7652"/>
    <w:rsid w:val="6B157FA6"/>
    <w:rsid w:val="6B15BB4A"/>
    <w:rsid w:val="6B333AA3"/>
    <w:rsid w:val="6B3F154F"/>
    <w:rsid w:val="6B3FEB4B"/>
    <w:rsid w:val="6B59C56E"/>
    <w:rsid w:val="6B8D9D6A"/>
    <w:rsid w:val="6BFBC2A1"/>
    <w:rsid w:val="6C0E11D4"/>
    <w:rsid w:val="6C26ADAC"/>
    <w:rsid w:val="6C362B0A"/>
    <w:rsid w:val="6C57B6EA"/>
    <w:rsid w:val="6C5B78D7"/>
    <w:rsid w:val="6C61F150"/>
    <w:rsid w:val="6C72D6F3"/>
    <w:rsid w:val="6C96F202"/>
    <w:rsid w:val="6C96F202"/>
    <w:rsid w:val="6CA14AF4"/>
    <w:rsid w:val="6CBB1439"/>
    <w:rsid w:val="6CE2116A"/>
    <w:rsid w:val="6D07ECD4"/>
    <w:rsid w:val="6D4604B9"/>
    <w:rsid w:val="6D4EB6D2"/>
    <w:rsid w:val="6D6109A5"/>
    <w:rsid w:val="6DDA81A9"/>
    <w:rsid w:val="6DE91A71"/>
    <w:rsid w:val="6DF31BA1"/>
    <w:rsid w:val="6E01BBD8"/>
    <w:rsid w:val="6E0662DB"/>
    <w:rsid w:val="6E1CF792"/>
    <w:rsid w:val="6E208DA9"/>
    <w:rsid w:val="6E937087"/>
    <w:rsid w:val="6ECA3545"/>
    <w:rsid w:val="6ED9C7C6"/>
    <w:rsid w:val="6EEEF282"/>
    <w:rsid w:val="6F692AA7"/>
    <w:rsid w:val="6F9F2DE7"/>
    <w:rsid w:val="6FC81412"/>
    <w:rsid w:val="6FF76A3C"/>
    <w:rsid w:val="70036F69"/>
    <w:rsid w:val="7012544C"/>
    <w:rsid w:val="70139521"/>
    <w:rsid w:val="7021221A"/>
    <w:rsid w:val="7058958E"/>
    <w:rsid w:val="7089FE1B"/>
    <w:rsid w:val="70B20B1F"/>
    <w:rsid w:val="70B27E8C"/>
    <w:rsid w:val="70D96EDC"/>
    <w:rsid w:val="70F8304B"/>
    <w:rsid w:val="7106E186"/>
    <w:rsid w:val="71126BEF"/>
    <w:rsid w:val="7141EC24"/>
    <w:rsid w:val="71A3179F"/>
    <w:rsid w:val="71B20805"/>
    <w:rsid w:val="71D1F4D8"/>
    <w:rsid w:val="71D7D496"/>
    <w:rsid w:val="71FBCDBC"/>
    <w:rsid w:val="71FD6858"/>
    <w:rsid w:val="723C0930"/>
    <w:rsid w:val="724F3D1C"/>
    <w:rsid w:val="7276546A"/>
    <w:rsid w:val="72DBD252"/>
    <w:rsid w:val="733D6AF4"/>
    <w:rsid w:val="736C60BD"/>
    <w:rsid w:val="7372CFB8"/>
    <w:rsid w:val="73A5CBDF"/>
    <w:rsid w:val="73EEAB68"/>
    <w:rsid w:val="73FE2230"/>
    <w:rsid w:val="740F1F71"/>
    <w:rsid w:val="74495377"/>
    <w:rsid w:val="74935187"/>
    <w:rsid w:val="7497AA92"/>
    <w:rsid w:val="74BEF730"/>
    <w:rsid w:val="74D85180"/>
    <w:rsid w:val="752059F8"/>
    <w:rsid w:val="75457481"/>
    <w:rsid w:val="758BCA5F"/>
    <w:rsid w:val="75E01BB2"/>
    <w:rsid w:val="76191890"/>
    <w:rsid w:val="7619BF3F"/>
    <w:rsid w:val="769B66E8"/>
    <w:rsid w:val="76D8CABF"/>
    <w:rsid w:val="76DE1EFB"/>
    <w:rsid w:val="76E25C84"/>
    <w:rsid w:val="7721E018"/>
    <w:rsid w:val="772CC4C3"/>
    <w:rsid w:val="777F69C2"/>
    <w:rsid w:val="778FF73E"/>
    <w:rsid w:val="779BEC07"/>
    <w:rsid w:val="77B69468"/>
    <w:rsid w:val="77D61229"/>
    <w:rsid w:val="782B2BFA"/>
    <w:rsid w:val="7889B9DB"/>
    <w:rsid w:val="789B37B4"/>
    <w:rsid w:val="78A5614B"/>
    <w:rsid w:val="78D4F520"/>
    <w:rsid w:val="78F82245"/>
    <w:rsid w:val="792D79F8"/>
    <w:rsid w:val="793193B3"/>
    <w:rsid w:val="79EAD586"/>
    <w:rsid w:val="7A0EF98E"/>
    <w:rsid w:val="7A29E935"/>
    <w:rsid w:val="7A319360"/>
    <w:rsid w:val="7A4F6E6C"/>
    <w:rsid w:val="7A647061"/>
    <w:rsid w:val="7A7C27D5"/>
    <w:rsid w:val="7A80E412"/>
    <w:rsid w:val="7ADD265A"/>
    <w:rsid w:val="7AE31478"/>
    <w:rsid w:val="7AEAE77C"/>
    <w:rsid w:val="7AECD3B1"/>
    <w:rsid w:val="7B08194B"/>
    <w:rsid w:val="7B1633A1"/>
    <w:rsid w:val="7B2B336B"/>
    <w:rsid w:val="7B421A68"/>
    <w:rsid w:val="7B90F474"/>
    <w:rsid w:val="7BBA5709"/>
    <w:rsid w:val="7C39A254"/>
    <w:rsid w:val="7C5A5B24"/>
    <w:rsid w:val="7C930147"/>
    <w:rsid w:val="7D16572E"/>
    <w:rsid w:val="7D7CABE6"/>
    <w:rsid w:val="7DB6695D"/>
    <w:rsid w:val="7DE2D473"/>
    <w:rsid w:val="7E4C47A6"/>
    <w:rsid w:val="7E64579A"/>
    <w:rsid w:val="7E7B7E6B"/>
    <w:rsid w:val="7EA383E0"/>
    <w:rsid w:val="7EA40AD3"/>
    <w:rsid w:val="7ECFA77F"/>
    <w:rsid w:val="7ED26EEC"/>
    <w:rsid w:val="7EE35F68"/>
    <w:rsid w:val="7F3A433D"/>
    <w:rsid w:val="7F604AB4"/>
    <w:rsid w:val="7F895A2D"/>
    <w:rsid w:val="7FCC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421A9"/>
  <w15:docId w15:val="{5B2BA3E5-8E0C-4EC8-9220-F637E856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85F76"/>
    <w:pPr>
      <w:spacing w:after="120"/>
    </w:pPr>
    <w:rPr>
      <w:color w:val="000000"/>
      <w:sz w:val="24"/>
      <w:szCs w:val="24"/>
    </w:rPr>
  </w:style>
  <w:style w:type="paragraph" w:styleId="Heading1">
    <w:name w:val="heading 1"/>
    <w:aliases w:val="aHeading"/>
    <w:basedOn w:val="Normal"/>
    <w:next w:val="Normal"/>
    <w:link w:val="Heading1Char"/>
    <w:qFormat/>
    <w:rsid w:val="002B6836"/>
    <w:pPr>
      <w:spacing w:before="240"/>
      <w:outlineLvl w:val="0"/>
    </w:pPr>
    <w:rPr>
      <w:b/>
    </w:rPr>
  </w:style>
  <w:style w:type="paragraph" w:styleId="Heading2">
    <w:name w:val="heading 2"/>
    <w:aliases w:val="Sub-heading"/>
    <w:basedOn w:val="Normal"/>
    <w:next w:val="Normal"/>
    <w:qFormat/>
    <w:rsid w:val="00F26E21"/>
    <w:pPr>
      <w:spacing w:before="120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zzFooter"/>
    <w:basedOn w:val="Normal"/>
    <w:link w:val="Foot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StyleBulletedSymbolsymbolLeft063cmHanging063cm" w:customStyle="1">
    <w:name w:val="Style Bulleted Symbol (symbol) Left:  0.63 cm Hanging:  0.63 cm"/>
    <w:basedOn w:val="NoList"/>
    <w:rsid w:val="00E818D6"/>
    <w:pPr>
      <w:numPr>
        <w:numId w:val="20"/>
      </w:numPr>
    </w:pPr>
  </w:style>
  <w:style w:type="character" w:styleId="PageNumber">
    <w:name w:val="page number"/>
    <w:rsid w:val="004A6D2F"/>
    <w:rPr>
      <w:rFonts w:ascii="Arial" w:hAnsi="Arial"/>
      <w:sz w:val="18"/>
    </w:rPr>
  </w:style>
  <w:style w:type="character" w:styleId="Hyperlink">
    <w:name w:val="Hyperlink"/>
    <w:aliases w:val="set Hyperlink"/>
    <w:qFormat/>
    <w:rsid w:val="003D2574"/>
    <w:rPr>
      <w:rFonts w:ascii="Arial" w:hAnsi="Arial"/>
      <w:color w:val="0000FF"/>
      <w:sz w:val="24"/>
      <w:u w:val="single"/>
    </w:rPr>
  </w:style>
  <w:style w:type="table" w:styleId="TableGrid">
    <w:name w:val="Table Grid"/>
    <w:basedOn w:val="TableNormal"/>
    <w:rsid w:val="001A06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rsid w:val="00E96BD7"/>
    <w:pPr>
      <w:spacing w:after="12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570B5"/>
    <w:pPr>
      <w:numPr>
        <w:numId w:val="18"/>
      </w:numPr>
      <w:tabs>
        <w:tab w:val="left" w:pos="426"/>
      </w:tabs>
    </w:pPr>
  </w:style>
  <w:style w:type="character" w:styleId="HeaderChar" w:customStyle="1">
    <w:name w:val="Header Char"/>
    <w:link w:val="Header"/>
    <w:uiPriority w:val="99"/>
    <w:rsid w:val="004A6D2F"/>
    <w:rPr>
      <w:rFonts w:ascii="Arial" w:hAnsi="Arial"/>
      <w:bCs/>
      <w:color w:val="000000"/>
      <w:sz w:val="18"/>
      <w:szCs w:val="24"/>
      <w:lang w:eastAsia="en-US"/>
    </w:rPr>
  </w:style>
  <w:style w:type="table" w:styleId="LightList-Accent2">
    <w:name w:val="Light List Accent 2"/>
    <w:basedOn w:val="TableNormal"/>
    <w:uiPriority w:val="61"/>
    <w:rsid w:val="00421CB2"/>
    <w:rPr>
      <w:rFonts w:eastAsia="Calibri" w:cs="Arial"/>
      <w:sz w:val="24"/>
      <w:szCs w:val="24"/>
      <w:lang w:eastAsia="en-US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LightShading-Accent2">
    <w:name w:val="Light Shading Accent 2"/>
    <w:basedOn w:val="TableNormal"/>
    <w:uiPriority w:val="60"/>
    <w:rsid w:val="00CB6B99"/>
    <w:rPr>
      <w:rFonts w:eastAsia="Calibri" w:cs="Arial"/>
      <w:color w:val="943634"/>
      <w:sz w:val="24"/>
      <w:szCs w:val="24"/>
      <w:lang w:eastAsia="en-US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9034EC"/>
    <w:pPr>
      <w:spacing w:after="120"/>
    </w:pPr>
    <w:rPr>
      <w:color w:val="000000"/>
      <w:sz w:val="24"/>
      <w:szCs w:val="24"/>
      <w:lang w:eastAsia="en-US"/>
    </w:rPr>
  </w:style>
  <w:style w:type="paragraph" w:styleId="Tableandfigurecaption" w:customStyle="1">
    <w:name w:val="Table and figure caption"/>
    <w:basedOn w:val="Heading2"/>
    <w:rsid w:val="00692627"/>
    <w:pPr>
      <w:ind w:left="360"/>
    </w:pPr>
    <w:rPr>
      <w:bCs/>
      <w:szCs w:val="20"/>
    </w:rPr>
  </w:style>
  <w:style w:type="numbering" w:styleId="StyleNumberedLeft0cmHanging075cm" w:customStyle="1">
    <w:name w:val="Style Numbered Left:  0 cm Hanging:  0.75 cm"/>
    <w:basedOn w:val="NoList"/>
    <w:rsid w:val="00E818D6"/>
    <w:pPr>
      <w:numPr>
        <w:numId w:val="17"/>
      </w:numPr>
    </w:pPr>
  </w:style>
  <w:style w:type="paragraph" w:styleId="Bulletpoints" w:customStyle="1">
    <w:name w:val="Bullet points"/>
    <w:basedOn w:val="Normal"/>
    <w:link w:val="BulletpointsChar"/>
    <w:qFormat/>
    <w:rsid w:val="005570B5"/>
    <w:pPr>
      <w:numPr>
        <w:numId w:val="19"/>
      </w:numPr>
      <w:tabs>
        <w:tab w:val="left" w:pos="993"/>
      </w:tabs>
      <w:ind w:left="993" w:hanging="425"/>
    </w:pPr>
  </w:style>
  <w:style w:type="paragraph" w:styleId="Quote">
    <w:name w:val="Quote"/>
    <w:basedOn w:val="Normal"/>
    <w:next w:val="Normal"/>
    <w:link w:val="QuoteChar"/>
    <w:uiPriority w:val="29"/>
    <w:qFormat/>
    <w:rsid w:val="004A6D2F"/>
    <w:rPr>
      <w:i/>
      <w:iCs/>
    </w:rPr>
  </w:style>
  <w:style w:type="character" w:styleId="BulletpointsChar" w:customStyle="1">
    <w:name w:val="Bullet points Char"/>
    <w:link w:val="Bulletpoints"/>
    <w:rsid w:val="005570B5"/>
    <w:rPr>
      <w:color w:val="000000"/>
      <w:sz w:val="24"/>
      <w:szCs w:val="24"/>
    </w:rPr>
  </w:style>
  <w:style w:type="character" w:styleId="QuoteChar" w:customStyle="1">
    <w:name w:val="Quote Char"/>
    <w:link w:val="Quote"/>
    <w:uiPriority w:val="29"/>
    <w:rsid w:val="004A6D2F"/>
    <w:rPr>
      <w:rFonts w:ascii="Arial" w:hAnsi="Arial"/>
      <w:i/>
      <w:iCs/>
      <w:color w:val="000000"/>
      <w:sz w:val="24"/>
      <w:szCs w:val="24"/>
      <w:lang w:eastAsia="en-US"/>
    </w:rPr>
  </w:style>
  <w:style w:type="character" w:styleId="FooterChar" w:customStyle="1">
    <w:name w:val="Footer Char"/>
    <w:aliases w:val="zzFooter Char"/>
    <w:link w:val="Footer"/>
    <w:uiPriority w:val="99"/>
    <w:rsid w:val="004B11AE"/>
    <w:rPr>
      <w:color w:val="000000"/>
      <w:sz w:val="18"/>
      <w:szCs w:val="24"/>
    </w:rPr>
  </w:style>
  <w:style w:type="character" w:styleId="Firstpagetablebold" w:customStyle="1">
    <w:name w:val="First page table: bold"/>
    <w:qFormat/>
    <w:rsid w:val="005D1E27"/>
    <w:rPr>
      <w:rFonts w:ascii="Arial" w:hAnsi="Arial"/>
      <w:b/>
      <w:sz w:val="24"/>
    </w:rPr>
  </w:style>
  <w:style w:type="paragraph" w:styleId="bParagraphtext" w:customStyle="1">
    <w:name w:val="bParagraph text"/>
    <w:basedOn w:val="ListParagraph"/>
    <w:link w:val="bParagraphtextChar"/>
    <w:qFormat/>
    <w:rsid w:val="004268B9"/>
  </w:style>
  <w:style w:type="paragraph" w:styleId="Caption">
    <w:name w:val="caption"/>
    <w:basedOn w:val="Normal"/>
    <w:next w:val="Normal"/>
    <w:unhideWhenUsed/>
    <w:qFormat/>
    <w:rsid w:val="0093067A"/>
    <w:pPr>
      <w:spacing w:before="120"/>
      <w:jc w:val="center"/>
    </w:pPr>
    <w:rPr>
      <w:b/>
      <w:bCs/>
      <w:sz w:val="20"/>
      <w:szCs w:val="20"/>
    </w:rPr>
  </w:style>
  <w:style w:type="character" w:styleId="ListParagraphChar" w:customStyle="1">
    <w:name w:val="List Paragraph Char"/>
    <w:link w:val="ListParagraph"/>
    <w:uiPriority w:val="34"/>
    <w:rsid w:val="005570B5"/>
    <w:rPr>
      <w:color w:val="000000"/>
      <w:sz w:val="24"/>
      <w:szCs w:val="24"/>
    </w:rPr>
  </w:style>
  <w:style w:type="character" w:styleId="bParagraphtextChar" w:customStyle="1">
    <w:name w:val="bParagraph text Char"/>
    <w:link w:val="bParagraphtext"/>
    <w:rsid w:val="005570B5"/>
    <w:rPr>
      <w:color w:val="000000"/>
      <w:sz w:val="24"/>
      <w:szCs w:val="24"/>
    </w:rPr>
  </w:style>
  <w:style w:type="paragraph" w:styleId="Numberedlist" w:customStyle="1">
    <w:name w:val="Numbered list"/>
    <w:basedOn w:val="Bulletpoints"/>
    <w:link w:val="NumberedlistChar"/>
    <w:qFormat/>
    <w:rsid w:val="004738C5"/>
    <w:pPr>
      <w:numPr>
        <w:numId w:val="27"/>
      </w:numPr>
      <w:ind w:left="993" w:hanging="426"/>
    </w:pPr>
  </w:style>
  <w:style w:type="character" w:styleId="Heading1Char" w:customStyle="1">
    <w:name w:val="Heading 1 Char"/>
    <w:aliases w:val="aHeading Char"/>
    <w:link w:val="Heading1"/>
    <w:rsid w:val="002B6836"/>
    <w:rPr>
      <w:b/>
      <w:color w:val="000000"/>
      <w:sz w:val="24"/>
      <w:szCs w:val="24"/>
    </w:rPr>
  </w:style>
  <w:style w:type="paragraph" w:styleId="TOAHeading">
    <w:name w:val="toa heading"/>
    <w:basedOn w:val="Normal"/>
    <w:next w:val="Normal"/>
    <w:rsid w:val="005570B5"/>
    <w:pPr>
      <w:spacing w:before="120"/>
    </w:pPr>
    <w:rPr>
      <w:rFonts w:ascii="Cambria" w:hAnsi="Cambria"/>
      <w:b/>
      <w:bCs/>
    </w:rPr>
  </w:style>
  <w:style w:type="character" w:styleId="NumberedlistChar" w:customStyle="1">
    <w:name w:val="Numbered list Char"/>
    <w:link w:val="Numberedlist"/>
    <w:rsid w:val="004738C5"/>
    <w:rPr>
      <w:color w:val="000000"/>
      <w:sz w:val="24"/>
      <w:szCs w:val="24"/>
    </w:rPr>
  </w:style>
  <w:style w:type="table" w:styleId="TableColumns1">
    <w:name w:val="Table Columns 1"/>
    <w:basedOn w:val="TableNormal"/>
    <w:rsid w:val="00507ECC"/>
    <w:pPr>
      <w:spacing w:after="120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rsid w:val="00507ECC"/>
    <w:pPr>
      <w:spacing w:after="120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rsid w:val="00507ECC"/>
    <w:pPr>
      <w:spacing w:after="120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LightList-Accent1">
    <w:name w:val="Light List Accent 1"/>
    <w:basedOn w:val="TableNormal"/>
    <w:uiPriority w:val="61"/>
    <w:rsid w:val="00507ECC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</w:styles>
</file>

<file path=word/tasks.xml><?xml version="1.0" encoding="utf-8"?>
<t:Tasks xmlns:t="http://schemas.microsoft.com/office/tasks/2019/documenttasks" xmlns:oel="http://schemas.microsoft.com/office/2019/extlst">
  <t:Task id="{72A35927-BDD8-441C-8C7D-34ED81D61C3A}">
    <t:Anchor>
      <t:Comment id="934946488"/>
    </t:Anchor>
    <t:History>
      <t:Event id="{60E80510-2379-47EA-8F7B-8F5524629BFA}" time="2025-04-29T14:30:26.523Z">
        <t:Attribution userId="S::jbaughan@oxford.gov.uk::0e50ec99-0d27-4105-92f4-113c226171b2" userProvider="AD" userName="BAUGHAN James Leisure"/>
        <t:Anchor>
          <t:Comment id="934946488"/>
        </t:Anchor>
        <t:Create/>
      </t:Event>
      <t:Event id="{0C1E0899-C3C1-4E92-987E-EDE6F25E5622}" time="2025-04-29T14:30:26.523Z">
        <t:Attribution userId="S::jbaughan@oxford.gov.uk::0e50ec99-0d27-4105-92f4-113c226171b2" userProvider="AD" userName="BAUGHAN James Leisure"/>
        <t:Anchor>
          <t:Comment id="934946488"/>
        </t:Anchor>
        <t:Assign userId="S::HLewisman@oxford.gov.uk::00dfc60a-3c39-476c-8af2-ca0fc6feba53" userProvider="AD" userName="LEWISMAN Hagan"/>
      </t:Event>
      <t:Event id="{61FC21DB-8F7C-4EA3-B17E-591E619DB53B}" time="2025-04-29T14:30:26.523Z">
        <t:Attribution userId="S::jbaughan@oxford.gov.uk::0e50ec99-0d27-4105-92f4-113c226171b2" userProvider="AD" userName="BAUGHAN James Leisure"/>
        <t:Anchor>
          <t:Comment id="934946488"/>
        </t:Anchor>
        <t:SetTitle title="@Hagan, please could you add any additional info/detail around the Youth Hub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Hlewisman@oxford.gov.uk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1/relationships/people" Target="people.xml" Id="R3d8056e118b44b56" /><Relationship Type="http://schemas.microsoft.com/office/2011/relationships/commentsExtended" Target="commentsExtended.xml" Id="R824ae47d5c7f49da" /><Relationship Type="http://schemas.microsoft.com/office/2016/09/relationships/commentsIds" Target="commentsIds.xml" Id="Rda4d326a41b64842" /><Relationship Type="http://schemas.microsoft.com/office/2019/05/relationships/documenttasks" Target="tasks.xml" Id="Re42ae76ec4a54ed0" /><Relationship Type="http://schemas.microsoft.com/office/2020/10/relationships/intelligence" Target="intelligence2.xml" Id="R14b97ffae4e34d3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482ae-7241-49c3-8a4f-7ce08acf9f0e">
      <Terms xmlns="http://schemas.microsoft.com/office/infopath/2007/PartnerControls"/>
    </lcf76f155ced4ddcb4097134ff3c332f>
    <TaxCatchAll xmlns="3786fa0e-627d-4c8f-81d4-9acfec184f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88C9F99542148A16292699E9EF8DD" ma:contentTypeVersion="12" ma:contentTypeDescription="Create a new document." ma:contentTypeScope="" ma:versionID="275f8b0736f9a3dd37a6dfa317b938d9">
  <xsd:schema xmlns:xsd="http://www.w3.org/2001/XMLSchema" xmlns:xs="http://www.w3.org/2001/XMLSchema" xmlns:p="http://schemas.microsoft.com/office/2006/metadata/properties" xmlns:ns2="767482ae-7241-49c3-8a4f-7ce08acf9f0e" xmlns:ns3="3786fa0e-627d-4c8f-81d4-9acfec184fed" targetNamespace="http://schemas.microsoft.com/office/2006/metadata/properties" ma:root="true" ma:fieldsID="6d671af6009ee3d1f180609449fc9527" ns2:_="" ns3:_="">
    <xsd:import namespace="767482ae-7241-49c3-8a4f-7ce08acf9f0e"/>
    <xsd:import namespace="3786fa0e-627d-4c8f-81d4-9acfec1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82ae-7241-49c3-8a4f-7ce08acf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fa0e-627d-4c8f-81d4-9acfec184f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3b9f7-7072-40e0-9d1e-a551a753d0fc}" ma:internalName="TaxCatchAll" ma:showField="CatchAllData" ma:web="3786fa0e-627d-4c8f-81d4-9acfec1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405AF-D84A-4F04-BF3E-250BAA20EF8C}">
  <ds:schemaRefs>
    <ds:schemaRef ds:uri="http://schemas.microsoft.com/office/2006/metadata/properties"/>
    <ds:schemaRef ds:uri="http://schemas.microsoft.com/office/infopath/2007/PartnerControls"/>
    <ds:schemaRef ds:uri="1e42770d-515c-40da-b645-5b11844d0144"/>
    <ds:schemaRef ds:uri="d1c7a347-d524-4f9b-bc47-7f3a7528cdb0"/>
  </ds:schemaRefs>
</ds:datastoreItem>
</file>

<file path=customXml/itemProps2.xml><?xml version="1.0" encoding="utf-8"?>
<ds:datastoreItem xmlns:ds="http://schemas.openxmlformats.org/officeDocument/2006/customXml" ds:itemID="{DA6AB859-1359-4A59-AAB8-A2A5B8A58C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6EAD6E-C98E-47A6-8814-B676BA225C92}"/>
</file>

<file path=customXml/itemProps4.xml><?xml version="1.0" encoding="utf-8"?>
<ds:datastoreItem xmlns:ds="http://schemas.openxmlformats.org/officeDocument/2006/customXml" ds:itemID="{5CAB3A03-4A4E-47ED-89A1-4FA3C2B6C8F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Oxford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OxCityCouncil Cabinet report</dc:title>
  <dc:creator>jmitchell</dc:creator>
  <keywords>OxCityCouncil Report</keywords>
  <lastModifiedBy>MCCOLLUM Brenda</lastModifiedBy>
  <revision>57</revision>
  <lastPrinted>2015-07-03T13:50:00.0000000Z</lastPrinted>
  <dcterms:created xsi:type="dcterms:W3CDTF">2024-12-10T08:38:00.0000000Z</dcterms:created>
  <dcterms:modified xsi:type="dcterms:W3CDTF">2025-05-27T14:21:02.8376095Z</dcterms:modified>
  <category>Report to Council or Committee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0x010100B5288C9F99542148A16292699E9EF8DD</vt:lpwstr>
  </property>
  <property fmtid="{D5CDD505-2E9C-101B-9397-08002B2CF9AE}" pid="3" name="MediaServiceImageTags">
    <vt:lpwstr/>
  </property>
  <property fmtid="{D5CDD505-2E9C-101B-9397-08002B2CF9AE}" pid="4" name="Order">
    <vt:r8>100</vt:r8>
  </property>
</Properties>
</file>